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9529" w14:textId="42C67BBD" w:rsidR="00593046" w:rsidRPr="00B54939" w:rsidRDefault="005E67EB" w:rsidP="005E67EB">
      <w:pPr>
        <w:spacing w:line="240" w:lineRule="auto"/>
        <w:jc w:val="center"/>
        <w:rPr>
          <w:rFonts w:ascii="Arial Narrow" w:hAnsi="Arial Narrow"/>
          <w:b/>
        </w:rPr>
      </w:pPr>
      <w:r>
        <w:rPr>
          <w:rFonts w:ascii="Arial Narrow" w:hAnsi="Arial Narrow"/>
          <w:b/>
        </w:rPr>
        <w:t xml:space="preserve">COMPLEMENTO DE </w:t>
      </w:r>
      <w:r w:rsidR="00593046" w:rsidRPr="00B54939">
        <w:rPr>
          <w:rFonts w:ascii="Arial Narrow" w:hAnsi="Arial Narrow"/>
          <w:b/>
        </w:rPr>
        <w:t>PROPUESTA ECONOMICA</w:t>
      </w:r>
    </w:p>
    <w:p w14:paraId="05728B32" w14:textId="77777777" w:rsidR="00D32306" w:rsidRDefault="00D32306" w:rsidP="001A1AD2">
      <w:pPr>
        <w:spacing w:after="0" w:line="240" w:lineRule="auto"/>
        <w:rPr>
          <w:rFonts w:ascii="Arial Narrow" w:eastAsia="Times New Roman" w:hAnsi="Arial Narrow"/>
          <w:b/>
        </w:rPr>
      </w:pPr>
    </w:p>
    <w:p w14:paraId="0A3956DD" w14:textId="77777777" w:rsidR="005E67EB" w:rsidRDefault="005E67EB" w:rsidP="005E67EB">
      <w:pPr>
        <w:spacing w:after="0" w:line="240" w:lineRule="auto"/>
        <w:rPr>
          <w:rFonts w:ascii="Arial Narrow" w:eastAsia="Times New Roman" w:hAnsi="Arial Narrow"/>
          <w:b/>
        </w:rPr>
      </w:pPr>
    </w:p>
    <w:p w14:paraId="54C60DE3" w14:textId="29B08894" w:rsidR="005E67EB" w:rsidRPr="00B54939" w:rsidRDefault="005E67EB" w:rsidP="005E67EB">
      <w:pPr>
        <w:spacing w:after="0" w:line="240" w:lineRule="auto"/>
        <w:rPr>
          <w:rFonts w:ascii="Arial Narrow" w:hAnsi="Arial Narrow"/>
          <w:b/>
          <w:bCs/>
        </w:rPr>
      </w:pPr>
      <w:r w:rsidRPr="00B54939">
        <w:rPr>
          <w:rFonts w:ascii="Arial Narrow" w:eastAsia="Times New Roman" w:hAnsi="Arial Narrow"/>
          <w:b/>
        </w:rPr>
        <w:t>REFERENCIA</w:t>
      </w:r>
      <w:r w:rsidRPr="00B54939">
        <w:rPr>
          <w:rFonts w:ascii="Arial Narrow" w:eastAsia="Times New Roman" w:hAnsi="Arial Narrow"/>
        </w:rPr>
        <w:t>:</w:t>
      </w:r>
      <w:r w:rsidRPr="00B54939">
        <w:rPr>
          <w:rFonts w:ascii="Arial Narrow" w:eastAsia="Times New Roman" w:hAnsi="Arial Narrow"/>
          <w:b/>
        </w:rPr>
        <w:t xml:space="preserve"> SELECCIÓN ABREVIADA MENOR CUANTIA No. </w:t>
      </w:r>
      <w:r w:rsidRPr="003D6829">
        <w:rPr>
          <w:rFonts w:ascii="Arial Narrow" w:eastAsia="Times New Roman" w:hAnsi="Arial Narrow"/>
          <w:b/>
        </w:rPr>
        <w:t>SAMC-0</w:t>
      </w:r>
      <w:r w:rsidR="00D61123">
        <w:rPr>
          <w:rFonts w:ascii="Arial Narrow" w:eastAsia="Times New Roman" w:hAnsi="Arial Narrow"/>
          <w:b/>
        </w:rPr>
        <w:t>1</w:t>
      </w:r>
      <w:r w:rsidR="00C724E5">
        <w:rPr>
          <w:rFonts w:ascii="Arial Narrow" w:eastAsia="Times New Roman" w:hAnsi="Arial Narrow"/>
          <w:b/>
        </w:rPr>
        <w:t>1</w:t>
      </w:r>
      <w:r>
        <w:rPr>
          <w:rFonts w:ascii="Arial Narrow" w:eastAsia="Times New Roman" w:hAnsi="Arial Narrow"/>
          <w:b/>
        </w:rPr>
        <w:t>-</w:t>
      </w:r>
      <w:r w:rsidRPr="003D6829">
        <w:rPr>
          <w:rFonts w:ascii="Arial Narrow" w:eastAsia="Times New Roman" w:hAnsi="Arial Narrow"/>
          <w:b/>
        </w:rPr>
        <w:t>2026</w:t>
      </w:r>
    </w:p>
    <w:p w14:paraId="4D0FA0BF" w14:textId="77777777" w:rsidR="005E67EB" w:rsidRPr="00B54939" w:rsidRDefault="005E67EB" w:rsidP="005E67EB">
      <w:pPr>
        <w:spacing w:after="0" w:line="240" w:lineRule="auto"/>
        <w:rPr>
          <w:rFonts w:ascii="Arial Narrow" w:hAnsi="Arial Narrow"/>
          <w:b/>
          <w:bCs/>
        </w:rPr>
      </w:pPr>
    </w:p>
    <w:p w14:paraId="6B968CB6" w14:textId="77777777" w:rsidR="005E67EB" w:rsidRDefault="005E67EB" w:rsidP="005E67EB">
      <w:pPr>
        <w:spacing w:after="0" w:line="240" w:lineRule="auto"/>
        <w:rPr>
          <w:rFonts w:ascii="Arial Narrow" w:eastAsia="Times New Roman" w:hAnsi="Arial Narrow"/>
          <w:b/>
        </w:rPr>
      </w:pPr>
    </w:p>
    <w:p w14:paraId="09A10D58" w14:textId="77777777" w:rsidR="005E67EB" w:rsidRDefault="005E67EB" w:rsidP="005E67EB">
      <w:pPr>
        <w:spacing w:after="0" w:line="240" w:lineRule="auto"/>
        <w:rPr>
          <w:b/>
          <w:bCs/>
          <w:sz w:val="24"/>
          <w:szCs w:val="24"/>
          <w:lang w:val="es-ES"/>
        </w:rPr>
      </w:pPr>
      <w:r w:rsidRPr="00B54939">
        <w:rPr>
          <w:rFonts w:ascii="Arial Narrow" w:eastAsia="Times New Roman" w:hAnsi="Arial Narrow"/>
          <w:b/>
        </w:rPr>
        <w:t>OBJETO</w:t>
      </w:r>
      <w:r w:rsidRPr="00B54939">
        <w:rPr>
          <w:rFonts w:ascii="Arial Narrow" w:eastAsia="Times New Roman" w:hAnsi="Arial Narrow"/>
        </w:rPr>
        <w:t>:</w:t>
      </w:r>
      <w:r w:rsidRPr="00B54939">
        <w:rPr>
          <w:rFonts w:ascii="Arial Narrow" w:eastAsia="Times New Roman" w:hAnsi="Arial Narrow"/>
          <w:b/>
        </w:rPr>
        <w:t xml:space="preserve"> </w:t>
      </w:r>
      <w:r w:rsidRPr="00D60070">
        <w:rPr>
          <w:i/>
          <w:iCs/>
          <w:sz w:val="24"/>
          <w:szCs w:val="24"/>
          <w:lang w:val="es-ES"/>
        </w:rPr>
        <w:t>“PRESTAR LOS SERVICIOS PARA EL DISEÑO E IMPLEMENTACIÓN DE LA AGENDA INTEGRAL DE ENERGÍA QUE PERMITA FACILITAR LA ATRACCIÓN DE INVERSIÓN PARA EL DESARROLLO DE LA INDUSTRIA ENERGÉTICA OFFSHORE Y SU CADENA DE VALOR EN EL DISTRITO DE SANTA MARTA”.</w:t>
      </w:r>
    </w:p>
    <w:p w14:paraId="70C9FE1D" w14:textId="77777777" w:rsidR="001A1AD2" w:rsidRPr="00B54939" w:rsidRDefault="001A1AD2" w:rsidP="003B7F1A">
      <w:pPr>
        <w:autoSpaceDE w:val="0"/>
        <w:autoSpaceDN w:val="0"/>
        <w:adjustRightInd w:val="0"/>
        <w:spacing w:line="240" w:lineRule="auto"/>
        <w:ind w:right="49"/>
        <w:rPr>
          <w:rFonts w:ascii="Arial Narrow" w:hAnsi="Arial Narrow"/>
        </w:rPr>
      </w:pPr>
    </w:p>
    <w:p w14:paraId="268E2B47" w14:textId="0DDC5408" w:rsidR="004D2E9E" w:rsidRPr="004D2E9E" w:rsidRDefault="004D2E9E" w:rsidP="004D2E9E">
      <w:pPr>
        <w:pStyle w:val="TableParagraph"/>
        <w:ind w:left="108" w:right="94"/>
        <w:rPr>
          <w:rFonts w:ascii="Arial" w:hAnsi="Arial" w:cs="Arial"/>
          <w:sz w:val="22"/>
          <w:szCs w:val="22"/>
        </w:rPr>
      </w:pPr>
      <w:r w:rsidRPr="004D2E9E">
        <w:rPr>
          <w:rFonts w:ascii="Arial" w:hAnsi="Arial" w:cs="Arial"/>
          <w:sz w:val="22"/>
          <w:szCs w:val="22"/>
        </w:rPr>
        <w:t xml:space="preserve">El suscrito XXXX obrando en nombre y representación de XXXX conforme lo establecido en </w:t>
      </w:r>
      <w:r>
        <w:rPr>
          <w:rFonts w:ascii="Arial" w:hAnsi="Arial" w:cs="Arial"/>
          <w:sz w:val="22"/>
          <w:szCs w:val="22"/>
        </w:rPr>
        <w:t>el Pliego de Condiciones Definitivo</w:t>
      </w:r>
      <w:r w:rsidRPr="004D2E9E">
        <w:rPr>
          <w:rFonts w:ascii="Arial" w:hAnsi="Arial" w:cs="Arial"/>
          <w:sz w:val="22"/>
          <w:szCs w:val="22"/>
        </w:rPr>
        <w:t>, por medio del presente, oferto en firme, irrevocablemente y como precio fijo y global, con destino a la celebración del contrato objeto de este proceso, y en consecuencia, ofrezco entregar los servicios correspondientes relacionados a continuación, bajo las características técnicas establecidas, en los términos y conforme a las condiciones y cantidades, previstos para tal efecto, por un valor total fijo de _______________________ pesos colombianos ($ ________________) incluido impuestos los que únicamente para los efectos tributarios y arancelarios resulten pertinentes.</w:t>
      </w:r>
      <w:r w:rsidR="00D32306">
        <w:rPr>
          <w:rFonts w:ascii="Arial" w:hAnsi="Arial" w:cs="Arial"/>
          <w:sz w:val="22"/>
          <w:szCs w:val="22"/>
        </w:rPr>
        <w:t xml:space="preserve"> </w:t>
      </w:r>
    </w:p>
    <w:p w14:paraId="371F07F4" w14:textId="77777777" w:rsidR="004D2E9E" w:rsidRDefault="004D2E9E" w:rsidP="004D2E9E">
      <w:pPr>
        <w:pStyle w:val="Default"/>
        <w:rPr>
          <w:rFonts w:ascii="Arial Narrow" w:hAnsi="Arial Narrow"/>
          <w:sz w:val="20"/>
          <w:szCs w:val="20"/>
        </w:rPr>
      </w:pPr>
    </w:p>
    <w:p w14:paraId="0BE25D8A" w14:textId="77777777" w:rsidR="008C492D" w:rsidRDefault="008C492D" w:rsidP="008C492D">
      <w:pPr>
        <w:spacing w:after="0" w:line="240" w:lineRule="auto"/>
      </w:pPr>
    </w:p>
    <w:tbl>
      <w:tblPr>
        <w:tblW w:w="12990" w:type="dxa"/>
        <w:tblCellMar>
          <w:left w:w="70" w:type="dxa"/>
          <w:right w:w="70" w:type="dxa"/>
        </w:tblCellMar>
        <w:tblLook w:val="04A0" w:firstRow="1" w:lastRow="0" w:firstColumn="1" w:lastColumn="0" w:noHBand="0" w:noVBand="1"/>
      </w:tblPr>
      <w:tblGrid>
        <w:gridCol w:w="430"/>
        <w:gridCol w:w="2660"/>
        <w:gridCol w:w="5302"/>
        <w:gridCol w:w="1099"/>
        <w:gridCol w:w="697"/>
        <w:gridCol w:w="859"/>
        <w:gridCol w:w="662"/>
        <w:gridCol w:w="1281"/>
      </w:tblGrid>
      <w:tr w:rsidR="005E67EB" w:rsidRPr="00D05F4A" w14:paraId="700F5FC4"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noWrap/>
            <w:vAlign w:val="center"/>
            <w:hideMark/>
          </w:tcPr>
          <w:p w14:paraId="515975F7" w14:textId="77777777" w:rsidR="005E67EB" w:rsidRPr="00D05F4A" w:rsidRDefault="005E67EB" w:rsidP="00DB7BBA">
            <w:pPr>
              <w:spacing w:after="0" w:line="240" w:lineRule="auto"/>
              <w:jc w:val="center"/>
              <w:rPr>
                <w:rFonts w:eastAsia="Times New Roman"/>
                <w:b/>
                <w:bCs/>
                <w:color w:val="FFFFFF"/>
                <w:sz w:val="13"/>
                <w:szCs w:val="13"/>
              </w:rPr>
            </w:pPr>
            <w:r w:rsidRPr="00D05F4A">
              <w:rPr>
                <w:rFonts w:eastAsia="Times New Roman"/>
                <w:b/>
                <w:bCs/>
                <w:color w:val="FFFFFF"/>
                <w:sz w:val="13"/>
                <w:szCs w:val="13"/>
              </w:rPr>
              <w:t>Diseño e implementación de la Agenda Integral de Energía que permita facilitar la atracción de inversión para el desarrollo de la industria energética Offshore y su cadena de valor en el Distrito de Santa Marta</w:t>
            </w:r>
          </w:p>
        </w:tc>
      </w:tr>
      <w:tr w:rsidR="005E67EB" w:rsidRPr="00D05F4A" w14:paraId="780C35E7"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18D9D6A5" w14:textId="77777777" w:rsidR="005E67EB" w:rsidRPr="00D05F4A" w:rsidRDefault="005E67EB" w:rsidP="00DB7BBA">
            <w:pPr>
              <w:spacing w:after="0" w:line="240" w:lineRule="auto"/>
              <w:jc w:val="center"/>
              <w:rPr>
                <w:rFonts w:eastAsia="Times New Roman"/>
                <w:b/>
                <w:bCs/>
                <w:color w:val="FFFFFF"/>
                <w:sz w:val="13"/>
                <w:szCs w:val="13"/>
              </w:rPr>
            </w:pPr>
            <w:r w:rsidRPr="00D05F4A">
              <w:rPr>
                <w:rFonts w:eastAsia="Times New Roman"/>
                <w:b/>
                <w:bCs/>
                <w:color w:val="FFFFFF"/>
                <w:sz w:val="13"/>
                <w:szCs w:val="13"/>
              </w:rPr>
              <w:t>Diseñar e implementar la Agenda Integral de Energía que permita facilitar la atracción de inversión para el desarrollo de la industria energética Offshore y su cadena de valor en el Distrito de Santa Marta.</w:t>
            </w:r>
          </w:p>
        </w:tc>
      </w:tr>
      <w:tr w:rsidR="005E67EB" w:rsidRPr="00D05F4A" w14:paraId="5DC78BBA"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noWrap/>
            <w:vAlign w:val="center"/>
            <w:hideMark/>
          </w:tcPr>
          <w:p w14:paraId="077CE77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PRESUPUESTO DE EJECUCIÓN</w:t>
            </w:r>
          </w:p>
        </w:tc>
      </w:tr>
      <w:tr w:rsidR="005E67EB" w:rsidRPr="00D05F4A" w14:paraId="3CC1F25F"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46BDC6"/>
            <w:noWrap/>
            <w:vAlign w:val="center"/>
            <w:hideMark/>
          </w:tcPr>
          <w:p w14:paraId="4B4848D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OBJETIVO ESPECIFICO 1: Diseñar y validar la Agenda Integral de Energía con una ruta clara de inversión e internacionalización territorial.</w:t>
            </w:r>
          </w:p>
        </w:tc>
        <w:tc>
          <w:tcPr>
            <w:tcW w:w="0" w:type="auto"/>
            <w:tcBorders>
              <w:top w:val="nil"/>
              <w:left w:val="nil"/>
              <w:bottom w:val="single" w:sz="8" w:space="0" w:color="auto"/>
              <w:right w:val="nil"/>
            </w:tcBorders>
            <w:shd w:val="clear" w:color="000000" w:fill="46BDC6"/>
            <w:noWrap/>
            <w:vAlign w:val="center"/>
            <w:hideMark/>
          </w:tcPr>
          <w:p w14:paraId="2F1E697F"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6A34D93A"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777BFA0E"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1.1: Alistamiento técnico, metodológico e institucional de la Agenda Integral de Energía offshore</w:t>
            </w:r>
          </w:p>
        </w:tc>
      </w:tr>
      <w:tr w:rsidR="005E67EB" w:rsidRPr="00D05F4A" w14:paraId="3A8BB7BD" w14:textId="77777777" w:rsidTr="00DB7BBA">
        <w:trPr>
          <w:trHeight w:val="286"/>
        </w:trPr>
        <w:tc>
          <w:tcPr>
            <w:tcW w:w="0" w:type="auto"/>
            <w:tcBorders>
              <w:top w:val="nil"/>
              <w:left w:val="single" w:sz="8" w:space="0" w:color="auto"/>
              <w:bottom w:val="single" w:sz="8" w:space="0" w:color="auto"/>
              <w:right w:val="single" w:sz="8" w:space="0" w:color="auto"/>
            </w:tcBorders>
            <w:noWrap/>
            <w:vAlign w:val="center"/>
            <w:hideMark/>
          </w:tcPr>
          <w:p w14:paraId="087E86E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7908FC1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68BAF6F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7A10CA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286FB2A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60262CF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3397568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4FDF09E7"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39BC2B8D" w14:textId="77777777" w:rsidTr="00DB7BBA">
        <w:trPr>
          <w:trHeight w:val="1328"/>
        </w:trPr>
        <w:tc>
          <w:tcPr>
            <w:tcW w:w="0" w:type="auto"/>
            <w:tcBorders>
              <w:top w:val="nil"/>
              <w:left w:val="single" w:sz="8" w:space="0" w:color="auto"/>
              <w:bottom w:val="single" w:sz="8" w:space="0" w:color="auto"/>
              <w:right w:val="single" w:sz="8" w:space="0" w:color="auto"/>
            </w:tcBorders>
            <w:vAlign w:val="center"/>
            <w:hideMark/>
          </w:tcPr>
          <w:p w14:paraId="1D1498D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1.1.1</w:t>
            </w:r>
          </w:p>
        </w:tc>
        <w:tc>
          <w:tcPr>
            <w:tcW w:w="0" w:type="auto"/>
            <w:tcBorders>
              <w:top w:val="nil"/>
              <w:left w:val="nil"/>
              <w:bottom w:val="single" w:sz="8" w:space="0" w:color="auto"/>
              <w:right w:val="single" w:sz="8" w:space="0" w:color="auto"/>
            </w:tcBorders>
            <w:vAlign w:val="center"/>
            <w:hideMark/>
          </w:tcPr>
          <w:p w14:paraId="3A374485"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Coordinador del proyecto</w:t>
            </w:r>
          </w:p>
        </w:tc>
        <w:tc>
          <w:tcPr>
            <w:tcW w:w="0" w:type="auto"/>
            <w:tcBorders>
              <w:top w:val="nil"/>
              <w:left w:val="nil"/>
              <w:bottom w:val="single" w:sz="8" w:space="0" w:color="auto"/>
              <w:right w:val="single" w:sz="8" w:space="0" w:color="auto"/>
            </w:tcBorders>
            <w:vAlign w:val="center"/>
            <w:hideMark/>
          </w:tcPr>
          <w:p w14:paraId="754C7DCD"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El Coordinador del Proyecto deberá ser un profesional en administración, ingeniería o áreas afines, con experiencia mínima de tres (3) años en gestión de recursos, coordinación de proyectos y articulación interinstitucional. Será responsable de liderar la ejecución técnica y administrativa del proyecto, garantizar el cumplimiento del cronograma, supervisar la adecuada utilización de los recursos y facilitar la articulación entre los actores involucrados, asegurando coherencia entre los objetivos, las actividades y los resultados esperados. Ejecutará sus actividades por 8 meses durante el proyecto.</w:t>
            </w:r>
          </w:p>
        </w:tc>
        <w:tc>
          <w:tcPr>
            <w:tcW w:w="0" w:type="auto"/>
            <w:tcBorders>
              <w:top w:val="nil"/>
              <w:left w:val="nil"/>
              <w:bottom w:val="single" w:sz="8" w:space="0" w:color="auto"/>
              <w:right w:val="single" w:sz="8" w:space="0" w:color="auto"/>
            </w:tcBorders>
            <w:vAlign w:val="center"/>
            <w:hideMark/>
          </w:tcPr>
          <w:p w14:paraId="1283195C"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vAlign w:val="center"/>
            <w:hideMark/>
          </w:tcPr>
          <w:p w14:paraId="4A70A9E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5F31CCD7"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148C457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vAlign w:val="center"/>
            <w:hideMark/>
          </w:tcPr>
          <w:p w14:paraId="645205FA"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4ECA46AB"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02DF910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1.1</w:t>
            </w:r>
          </w:p>
        </w:tc>
        <w:tc>
          <w:tcPr>
            <w:tcW w:w="0" w:type="auto"/>
            <w:tcBorders>
              <w:top w:val="nil"/>
              <w:left w:val="nil"/>
              <w:bottom w:val="single" w:sz="8" w:space="0" w:color="auto"/>
              <w:right w:val="single" w:sz="8" w:space="0" w:color="auto"/>
            </w:tcBorders>
            <w:shd w:val="clear" w:color="000000" w:fill="EFEFEF"/>
            <w:vAlign w:val="center"/>
            <w:hideMark/>
          </w:tcPr>
          <w:p w14:paraId="55CA5922"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1B4A3269"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4105EC62"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1.2: Servicio de diagnóstico energético, productivo, operacional y territorial del Distrito</w:t>
            </w:r>
          </w:p>
        </w:tc>
      </w:tr>
      <w:tr w:rsidR="005E67EB" w:rsidRPr="00D05F4A" w14:paraId="40237419"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087CB29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Ítem</w:t>
            </w:r>
          </w:p>
        </w:tc>
        <w:tc>
          <w:tcPr>
            <w:tcW w:w="0" w:type="auto"/>
            <w:tcBorders>
              <w:top w:val="nil"/>
              <w:left w:val="nil"/>
              <w:bottom w:val="single" w:sz="8" w:space="0" w:color="auto"/>
              <w:right w:val="single" w:sz="8" w:space="0" w:color="auto"/>
            </w:tcBorders>
            <w:noWrap/>
            <w:vAlign w:val="center"/>
            <w:hideMark/>
          </w:tcPr>
          <w:p w14:paraId="32DB6F5F"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274C4B4E"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34F1C73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3A74D862"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2F9DF90D"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5A682C3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6974C7D7"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252C78A6" w14:textId="77777777" w:rsidTr="00DB7BBA">
        <w:trPr>
          <w:trHeight w:val="2150"/>
        </w:trPr>
        <w:tc>
          <w:tcPr>
            <w:tcW w:w="0" w:type="auto"/>
            <w:tcBorders>
              <w:top w:val="nil"/>
              <w:left w:val="single" w:sz="8" w:space="0" w:color="auto"/>
              <w:bottom w:val="single" w:sz="8" w:space="0" w:color="auto"/>
              <w:right w:val="single" w:sz="8" w:space="0" w:color="auto"/>
            </w:tcBorders>
            <w:vAlign w:val="center"/>
            <w:hideMark/>
          </w:tcPr>
          <w:p w14:paraId="2B29B9A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1.2.1</w:t>
            </w:r>
          </w:p>
        </w:tc>
        <w:tc>
          <w:tcPr>
            <w:tcW w:w="0" w:type="auto"/>
            <w:tcBorders>
              <w:top w:val="nil"/>
              <w:left w:val="nil"/>
              <w:bottom w:val="single" w:sz="8" w:space="0" w:color="auto"/>
              <w:right w:val="single" w:sz="8" w:space="0" w:color="auto"/>
            </w:tcBorders>
            <w:vAlign w:val="center"/>
            <w:hideMark/>
          </w:tcPr>
          <w:p w14:paraId="7AC30118"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Diagnóstico territorial y definición del rol energético estratégico de Santa Marta</w:t>
            </w:r>
          </w:p>
        </w:tc>
        <w:tc>
          <w:tcPr>
            <w:tcW w:w="0" w:type="auto"/>
            <w:tcBorders>
              <w:top w:val="nil"/>
              <w:left w:val="nil"/>
              <w:bottom w:val="single" w:sz="8" w:space="0" w:color="auto"/>
              <w:right w:val="single" w:sz="8" w:space="0" w:color="auto"/>
            </w:tcBorders>
            <w:vAlign w:val="center"/>
            <w:hideMark/>
          </w:tcPr>
          <w:p w14:paraId="260DEAFC"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El servicio contempla la consolidación y análisis de información secundaria y primaria sobre infraestructura, servicios, normatividad, institucionalidad y condiciones habilitantes del territorio, así como la caracterización del tejido empresarial con potencial de encadenamiento en la cadena de valor energética. A partir de esta información se identificarán y priorizarán brechas estructurales que afectan la competitividad territorial y la atracción de inversión. Se construirá una línea base con indicadores verificables para el seguimiento de la Agenda. Asimismo, se desarrollarán y evaluarán escenarios del rol energético de Santa Marta, seleccionando el de mayor viabilidad e impacto, y construyendo su narrativa estratégica. El servicio incluirá el análisis de incentivos y barreras normativas, la definición de lineamientos de beneficio y retorno territorial, su integración a la ruta de inversión, y la validación del rol energético mediante mesas técnicas y talleres con actores clave del territorio.</w:t>
            </w:r>
          </w:p>
        </w:tc>
        <w:tc>
          <w:tcPr>
            <w:tcW w:w="0" w:type="auto"/>
            <w:tcBorders>
              <w:top w:val="nil"/>
              <w:left w:val="nil"/>
              <w:bottom w:val="single" w:sz="8" w:space="0" w:color="auto"/>
              <w:right w:val="single" w:sz="8" w:space="0" w:color="auto"/>
            </w:tcBorders>
            <w:vAlign w:val="center"/>
            <w:hideMark/>
          </w:tcPr>
          <w:p w14:paraId="7EFC835C"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vAlign w:val="center"/>
            <w:hideMark/>
          </w:tcPr>
          <w:p w14:paraId="38485B0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4AD8157F"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5EBD84B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vAlign w:val="center"/>
            <w:hideMark/>
          </w:tcPr>
          <w:p w14:paraId="27989F85"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4019D14C"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361D4F2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1.2</w:t>
            </w:r>
          </w:p>
        </w:tc>
        <w:tc>
          <w:tcPr>
            <w:tcW w:w="0" w:type="auto"/>
            <w:tcBorders>
              <w:top w:val="nil"/>
              <w:left w:val="nil"/>
              <w:bottom w:val="single" w:sz="8" w:space="0" w:color="auto"/>
              <w:right w:val="single" w:sz="8" w:space="0" w:color="auto"/>
            </w:tcBorders>
            <w:shd w:val="clear" w:color="000000" w:fill="EFEFEF"/>
            <w:vAlign w:val="center"/>
            <w:hideMark/>
          </w:tcPr>
          <w:p w14:paraId="1D722C4A"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604F9B25"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397F363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1.3: Estructuración del portafolio de proyectos y hoja de ruta de la Agenda</w:t>
            </w:r>
          </w:p>
        </w:tc>
      </w:tr>
      <w:tr w:rsidR="005E67EB" w:rsidRPr="00D05F4A" w14:paraId="217AD31F"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68FFB90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356917AE"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1BBE508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F23BDC7"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493475B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7C9532E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02CF2CC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60F4916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5956158F" w14:textId="77777777" w:rsidTr="00DB7BBA">
        <w:trPr>
          <w:trHeight w:val="1657"/>
        </w:trPr>
        <w:tc>
          <w:tcPr>
            <w:tcW w:w="0" w:type="auto"/>
            <w:tcBorders>
              <w:top w:val="nil"/>
              <w:left w:val="single" w:sz="8" w:space="0" w:color="auto"/>
              <w:bottom w:val="single" w:sz="8" w:space="0" w:color="auto"/>
              <w:right w:val="single" w:sz="8" w:space="0" w:color="auto"/>
            </w:tcBorders>
            <w:vAlign w:val="center"/>
            <w:hideMark/>
          </w:tcPr>
          <w:p w14:paraId="0002074F"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1.3.1</w:t>
            </w:r>
          </w:p>
        </w:tc>
        <w:tc>
          <w:tcPr>
            <w:tcW w:w="0" w:type="auto"/>
            <w:tcBorders>
              <w:top w:val="nil"/>
              <w:left w:val="nil"/>
              <w:bottom w:val="single" w:sz="8" w:space="0" w:color="auto"/>
              <w:right w:val="single" w:sz="8" w:space="0" w:color="auto"/>
            </w:tcBorders>
            <w:vAlign w:val="center"/>
            <w:hideMark/>
          </w:tcPr>
          <w:p w14:paraId="68DF1A45"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Identificar y priorizar proyectos estratégicos</w:t>
            </w:r>
          </w:p>
        </w:tc>
        <w:tc>
          <w:tcPr>
            <w:tcW w:w="0" w:type="auto"/>
            <w:tcBorders>
              <w:top w:val="nil"/>
              <w:left w:val="nil"/>
              <w:bottom w:val="single" w:sz="8" w:space="0" w:color="auto"/>
              <w:right w:val="single" w:sz="8" w:space="0" w:color="auto"/>
            </w:tcBorders>
            <w:vAlign w:val="center"/>
            <w:hideMark/>
          </w:tcPr>
          <w:p w14:paraId="51FFA83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Se estructurará un portafolio priorizado de proyectos alineados al rol energético definido, orientado a la atracción de inversión y al desarrollo de encadenamientos productivos, mediante criterios de impacto, viabilidad y madurez. Para cada proyecto se elaborarán fichas técnicas estandarizadas que incluyan alcance, inversión estimada, habilitantes, riesgos y fuentes de financiación, facilitando su promoción y gestión. Adicionalmente, se diseñará una hoja de ruta que organice los proyectos por fases, estableciendo hitos, dependencias y puntos de decisión. Finalmente, se definirán indicadores y metas verificables por proyecto, integrados al sistema de seguimiento de la Agenda, para apoyar la toma de decisiones y asegurar su actualización periódica.</w:t>
            </w:r>
          </w:p>
        </w:tc>
        <w:tc>
          <w:tcPr>
            <w:tcW w:w="0" w:type="auto"/>
            <w:tcBorders>
              <w:top w:val="nil"/>
              <w:left w:val="nil"/>
              <w:bottom w:val="single" w:sz="8" w:space="0" w:color="auto"/>
              <w:right w:val="single" w:sz="8" w:space="0" w:color="auto"/>
            </w:tcBorders>
            <w:vAlign w:val="center"/>
            <w:hideMark/>
          </w:tcPr>
          <w:p w14:paraId="57E594A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vAlign w:val="center"/>
            <w:hideMark/>
          </w:tcPr>
          <w:p w14:paraId="1D83E358"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67B56E4C"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365556D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w:t>
            </w:r>
          </w:p>
        </w:tc>
        <w:tc>
          <w:tcPr>
            <w:tcW w:w="0" w:type="auto"/>
            <w:tcBorders>
              <w:top w:val="nil"/>
              <w:left w:val="nil"/>
              <w:bottom w:val="single" w:sz="8" w:space="0" w:color="auto"/>
              <w:right w:val="single" w:sz="8" w:space="0" w:color="auto"/>
            </w:tcBorders>
            <w:vAlign w:val="center"/>
            <w:hideMark/>
          </w:tcPr>
          <w:p w14:paraId="02F05769"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672CDE9B"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5685F48E"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1.3</w:t>
            </w:r>
          </w:p>
        </w:tc>
        <w:tc>
          <w:tcPr>
            <w:tcW w:w="0" w:type="auto"/>
            <w:tcBorders>
              <w:top w:val="nil"/>
              <w:left w:val="nil"/>
              <w:bottom w:val="single" w:sz="8" w:space="0" w:color="auto"/>
              <w:right w:val="single" w:sz="8" w:space="0" w:color="auto"/>
            </w:tcBorders>
            <w:shd w:val="clear" w:color="000000" w:fill="EFEFEF"/>
            <w:vAlign w:val="center"/>
            <w:hideMark/>
          </w:tcPr>
          <w:p w14:paraId="6C03C1C0"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17BBC4AB"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3F64C3E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1.4: Diseño e instalación del modelo de gobernanza de la Agenda Integral de Energía</w:t>
            </w:r>
          </w:p>
        </w:tc>
      </w:tr>
      <w:tr w:rsidR="005E67EB" w:rsidRPr="00D05F4A" w14:paraId="15953980"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1974888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26A548B4"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2DE2EFB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76122C0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322FAA09"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699AFC99"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79D977E8"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26DA08ED"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6C97CDFC" w14:textId="77777777" w:rsidTr="00DB7BBA">
        <w:trPr>
          <w:trHeight w:val="1657"/>
        </w:trPr>
        <w:tc>
          <w:tcPr>
            <w:tcW w:w="0" w:type="auto"/>
            <w:tcBorders>
              <w:top w:val="nil"/>
              <w:left w:val="single" w:sz="8" w:space="0" w:color="auto"/>
              <w:bottom w:val="single" w:sz="8" w:space="0" w:color="auto"/>
              <w:right w:val="single" w:sz="8" w:space="0" w:color="auto"/>
            </w:tcBorders>
            <w:vAlign w:val="center"/>
            <w:hideMark/>
          </w:tcPr>
          <w:p w14:paraId="18CBAF55"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1.4.1</w:t>
            </w:r>
          </w:p>
        </w:tc>
        <w:tc>
          <w:tcPr>
            <w:tcW w:w="0" w:type="auto"/>
            <w:tcBorders>
              <w:top w:val="nil"/>
              <w:left w:val="nil"/>
              <w:bottom w:val="single" w:sz="8" w:space="0" w:color="auto"/>
              <w:right w:val="single" w:sz="8" w:space="0" w:color="auto"/>
            </w:tcBorders>
            <w:vAlign w:val="center"/>
            <w:hideMark/>
          </w:tcPr>
          <w:p w14:paraId="5911FC7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Diseño e instalación del modelo de gobernanza de la Agenda Integral de Energía</w:t>
            </w:r>
          </w:p>
        </w:tc>
        <w:tc>
          <w:tcPr>
            <w:tcW w:w="0" w:type="auto"/>
            <w:tcBorders>
              <w:top w:val="nil"/>
              <w:left w:val="nil"/>
              <w:bottom w:val="single" w:sz="8" w:space="0" w:color="auto"/>
              <w:right w:val="single" w:sz="8" w:space="0" w:color="auto"/>
            </w:tcBorders>
            <w:vAlign w:val="center"/>
            <w:hideMark/>
          </w:tcPr>
          <w:p w14:paraId="220F17A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La actividad comprende el análisis y selección del modelo de gobernanza más adecuado para la implementación y seguimiento de la Agenda Integral de Energía Offshore, mediante la evaluación de alternativas organizativas, roles institucionales y mecanismos de articulación público–privada. Incluye la formalización del Comité de Gestión como instancia de dirección y priorización, la conformación de mesas técnicas temáticas, la definición de reglas operativas para la toma de decisiones, seguimiento y rendición de cuentas, así como la instalación de la secretaría técnica y del sistema de reporte. Este conjunto de acciones permitirá asegurar coordinación interinstitucional, trazabilidad de compromisos y sostenibilidad operativa de la Agenda en el territorio.</w:t>
            </w:r>
          </w:p>
        </w:tc>
        <w:tc>
          <w:tcPr>
            <w:tcW w:w="0" w:type="auto"/>
            <w:tcBorders>
              <w:top w:val="nil"/>
              <w:left w:val="nil"/>
              <w:bottom w:val="single" w:sz="8" w:space="0" w:color="auto"/>
              <w:right w:val="single" w:sz="8" w:space="0" w:color="auto"/>
            </w:tcBorders>
            <w:vAlign w:val="center"/>
            <w:hideMark/>
          </w:tcPr>
          <w:p w14:paraId="380A506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vAlign w:val="center"/>
            <w:hideMark/>
          </w:tcPr>
          <w:p w14:paraId="7EBA91B8"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5675430B"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6B99D8E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w:t>
            </w:r>
          </w:p>
        </w:tc>
        <w:tc>
          <w:tcPr>
            <w:tcW w:w="0" w:type="auto"/>
            <w:tcBorders>
              <w:top w:val="nil"/>
              <w:left w:val="nil"/>
              <w:bottom w:val="single" w:sz="8" w:space="0" w:color="auto"/>
              <w:right w:val="single" w:sz="8" w:space="0" w:color="auto"/>
            </w:tcBorders>
            <w:vAlign w:val="center"/>
            <w:hideMark/>
          </w:tcPr>
          <w:p w14:paraId="08241DCC"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051A39F7" w14:textId="77777777" w:rsidTr="00DB7BBA">
        <w:trPr>
          <w:trHeight w:val="1492"/>
        </w:trPr>
        <w:tc>
          <w:tcPr>
            <w:tcW w:w="0" w:type="auto"/>
            <w:tcBorders>
              <w:top w:val="nil"/>
              <w:left w:val="single" w:sz="8" w:space="0" w:color="auto"/>
              <w:bottom w:val="single" w:sz="8" w:space="0" w:color="auto"/>
              <w:right w:val="single" w:sz="8" w:space="0" w:color="auto"/>
            </w:tcBorders>
            <w:vAlign w:val="center"/>
            <w:hideMark/>
          </w:tcPr>
          <w:p w14:paraId="16C62334"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1.4.2</w:t>
            </w:r>
          </w:p>
        </w:tc>
        <w:tc>
          <w:tcPr>
            <w:tcW w:w="0" w:type="auto"/>
            <w:tcBorders>
              <w:top w:val="nil"/>
              <w:left w:val="nil"/>
              <w:bottom w:val="single" w:sz="8" w:space="0" w:color="auto"/>
              <w:right w:val="single" w:sz="8" w:space="0" w:color="auto"/>
            </w:tcBorders>
            <w:vAlign w:val="center"/>
            <w:hideMark/>
          </w:tcPr>
          <w:p w14:paraId="4A412FAC"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Líder offshore</w:t>
            </w:r>
          </w:p>
        </w:tc>
        <w:tc>
          <w:tcPr>
            <w:tcW w:w="0" w:type="auto"/>
            <w:tcBorders>
              <w:top w:val="nil"/>
              <w:left w:val="nil"/>
              <w:bottom w:val="single" w:sz="8" w:space="0" w:color="auto"/>
              <w:right w:val="single" w:sz="8" w:space="0" w:color="auto"/>
            </w:tcBorders>
            <w:vAlign w:val="center"/>
            <w:hideMark/>
          </w:tcPr>
          <w:p w14:paraId="41CEB2A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El Profesional Líder Offshore deberá ser un profesional en ingeniería, administración, derecho o áreas afines, con amplia experiencia y conocimiento en coordinación de proyectos, gestión y análisis de inversión. Será el responsable de orientar técnicamente el proyecto en los aspectos relacionados con la industria offshore, aportar criterios expertos para la definición del rol energético del Distrito, apoyar la estructuración del portafolio de proyectos, brindar acompañamiento técnico en la articulación con actores estratégicos del sector y modelo de gobernanza de la agenda. Ejecutará sus actividades por 8 meses durante el proyecto.</w:t>
            </w:r>
          </w:p>
        </w:tc>
        <w:tc>
          <w:tcPr>
            <w:tcW w:w="0" w:type="auto"/>
            <w:tcBorders>
              <w:top w:val="nil"/>
              <w:left w:val="nil"/>
              <w:bottom w:val="single" w:sz="8" w:space="0" w:color="auto"/>
              <w:right w:val="single" w:sz="8" w:space="0" w:color="auto"/>
            </w:tcBorders>
            <w:vAlign w:val="center"/>
            <w:hideMark/>
          </w:tcPr>
          <w:p w14:paraId="31A869FD"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Honorario</w:t>
            </w:r>
          </w:p>
        </w:tc>
        <w:tc>
          <w:tcPr>
            <w:tcW w:w="0" w:type="auto"/>
            <w:tcBorders>
              <w:top w:val="nil"/>
              <w:left w:val="nil"/>
              <w:bottom w:val="single" w:sz="8" w:space="0" w:color="auto"/>
              <w:right w:val="single" w:sz="8" w:space="0" w:color="auto"/>
            </w:tcBorders>
            <w:vAlign w:val="center"/>
            <w:hideMark/>
          </w:tcPr>
          <w:p w14:paraId="24F6E70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2F09C266"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24738824"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vAlign w:val="center"/>
            <w:hideMark/>
          </w:tcPr>
          <w:p w14:paraId="7F3A92AF"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759BFBEC"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5A2E6BE8"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1.4</w:t>
            </w:r>
          </w:p>
        </w:tc>
        <w:tc>
          <w:tcPr>
            <w:tcW w:w="0" w:type="auto"/>
            <w:tcBorders>
              <w:top w:val="nil"/>
              <w:left w:val="nil"/>
              <w:bottom w:val="single" w:sz="8" w:space="0" w:color="auto"/>
              <w:right w:val="single" w:sz="8" w:space="0" w:color="auto"/>
            </w:tcBorders>
            <w:shd w:val="clear" w:color="000000" w:fill="EFEFEF"/>
            <w:vAlign w:val="center"/>
            <w:hideMark/>
          </w:tcPr>
          <w:p w14:paraId="41EE7F71"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6C609B7D"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7C1C7FD2"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1.5: Validación, adopción y publicación operativa de la Agenda</w:t>
            </w:r>
          </w:p>
        </w:tc>
      </w:tr>
      <w:tr w:rsidR="005E67EB" w:rsidRPr="00D05F4A" w14:paraId="3A947B4A"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513A0285"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397F88C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6CADFED2"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A15ACA8"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5C8D984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3F1891B2"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2C9A3DB2"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343D9BF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46DABB4C" w14:textId="77777777" w:rsidTr="00DB7BBA">
        <w:trPr>
          <w:trHeight w:val="1821"/>
        </w:trPr>
        <w:tc>
          <w:tcPr>
            <w:tcW w:w="0" w:type="auto"/>
            <w:tcBorders>
              <w:top w:val="nil"/>
              <w:left w:val="single" w:sz="8" w:space="0" w:color="auto"/>
              <w:bottom w:val="single" w:sz="8" w:space="0" w:color="auto"/>
              <w:right w:val="single" w:sz="8" w:space="0" w:color="auto"/>
            </w:tcBorders>
            <w:vAlign w:val="center"/>
            <w:hideMark/>
          </w:tcPr>
          <w:p w14:paraId="6D4AA0B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1.5.1</w:t>
            </w:r>
          </w:p>
        </w:tc>
        <w:tc>
          <w:tcPr>
            <w:tcW w:w="0" w:type="auto"/>
            <w:tcBorders>
              <w:top w:val="nil"/>
              <w:left w:val="nil"/>
              <w:bottom w:val="single" w:sz="8" w:space="0" w:color="auto"/>
              <w:right w:val="single" w:sz="8" w:space="0" w:color="auto"/>
            </w:tcBorders>
            <w:vAlign w:val="center"/>
            <w:hideMark/>
          </w:tcPr>
          <w:p w14:paraId="6303AC3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Espacios de socialización de Agenda con entidades, empresarios y academia</w:t>
            </w:r>
          </w:p>
        </w:tc>
        <w:tc>
          <w:tcPr>
            <w:tcW w:w="0" w:type="auto"/>
            <w:tcBorders>
              <w:top w:val="nil"/>
              <w:left w:val="nil"/>
              <w:bottom w:val="single" w:sz="8" w:space="0" w:color="auto"/>
              <w:right w:val="single" w:sz="8" w:space="0" w:color="auto"/>
            </w:tcBorders>
            <w:vAlign w:val="center"/>
            <w:hideMark/>
          </w:tcPr>
          <w:p w14:paraId="1EF1EAC9"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Se realizarán 6 espacios de socialización técnica con actores institucionales, empresariales y académicos para presentar la Agenda y recoger observaciones estructuradas sobre coherencia, viabilidad y pertinencia del portafolio y la hoja de ruta. La socialización se organizará con metodologías participativas y agenda clara, asegurando evidencia de participación, trazabilidad de comentarios y criterios para su incorporación. Este ejercicio permitirá fortalecer legitimidad, alinear expectativas y anticipar resistencias o cuellos de botella. Los resultados quedarán documentados mediante actas, listas de asistencia y matriz de observaciones. Se deberá contar con un espacio para 20 personas, que incluya una mesa con mantel, equipos de sonido y de proyección, refrigerio para 20 personas por espacio, para un total de 120 refrigerios, que contengan como mínimo un snack, fruta y jugo.</w:t>
            </w:r>
          </w:p>
        </w:tc>
        <w:tc>
          <w:tcPr>
            <w:tcW w:w="0" w:type="auto"/>
            <w:tcBorders>
              <w:top w:val="nil"/>
              <w:left w:val="nil"/>
              <w:bottom w:val="single" w:sz="8" w:space="0" w:color="auto"/>
              <w:right w:val="single" w:sz="8" w:space="0" w:color="auto"/>
            </w:tcBorders>
            <w:vAlign w:val="center"/>
            <w:hideMark/>
          </w:tcPr>
          <w:p w14:paraId="41C8D4B8"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vAlign w:val="center"/>
            <w:hideMark/>
          </w:tcPr>
          <w:p w14:paraId="50957D6B"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6</w:t>
            </w:r>
          </w:p>
        </w:tc>
        <w:tc>
          <w:tcPr>
            <w:tcW w:w="859" w:type="dxa"/>
            <w:tcBorders>
              <w:top w:val="nil"/>
              <w:left w:val="nil"/>
              <w:bottom w:val="single" w:sz="8" w:space="0" w:color="auto"/>
              <w:right w:val="single" w:sz="8" w:space="0" w:color="auto"/>
            </w:tcBorders>
            <w:vAlign w:val="center"/>
            <w:hideMark/>
          </w:tcPr>
          <w:p w14:paraId="11F96544"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27AE8AB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vAlign w:val="center"/>
            <w:hideMark/>
          </w:tcPr>
          <w:p w14:paraId="6E0B697C"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3927AB95"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5050392F"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1.6</w:t>
            </w:r>
          </w:p>
        </w:tc>
        <w:tc>
          <w:tcPr>
            <w:tcW w:w="0" w:type="auto"/>
            <w:tcBorders>
              <w:top w:val="nil"/>
              <w:left w:val="nil"/>
              <w:bottom w:val="single" w:sz="8" w:space="0" w:color="auto"/>
              <w:right w:val="single" w:sz="8" w:space="0" w:color="auto"/>
            </w:tcBorders>
            <w:shd w:val="clear" w:color="000000" w:fill="EFEFEF"/>
            <w:vAlign w:val="center"/>
            <w:hideMark/>
          </w:tcPr>
          <w:p w14:paraId="30AEB377"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1F4B69BC" w14:textId="77777777" w:rsidTr="00DB7BBA">
        <w:trPr>
          <w:trHeight w:val="286"/>
        </w:trPr>
        <w:tc>
          <w:tcPr>
            <w:tcW w:w="11047" w:type="dxa"/>
            <w:gridSpan w:val="6"/>
            <w:tcBorders>
              <w:top w:val="single" w:sz="8" w:space="0" w:color="auto"/>
              <w:left w:val="single" w:sz="8" w:space="0" w:color="auto"/>
              <w:bottom w:val="single" w:sz="8" w:space="0" w:color="auto"/>
              <w:right w:val="single" w:sz="8" w:space="0" w:color="000000"/>
            </w:tcBorders>
            <w:shd w:val="clear" w:color="000000" w:fill="46BDC6"/>
            <w:vAlign w:val="center"/>
            <w:hideMark/>
          </w:tcPr>
          <w:p w14:paraId="41EE345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OBJETIVO ESPECIFICO 2: Gestionar alianzas para la formación en competencias laborales en el sector energético y su cadena de valor.</w:t>
            </w:r>
          </w:p>
        </w:tc>
        <w:tc>
          <w:tcPr>
            <w:tcW w:w="662" w:type="dxa"/>
            <w:tcBorders>
              <w:top w:val="nil"/>
              <w:left w:val="nil"/>
              <w:bottom w:val="single" w:sz="8" w:space="0" w:color="auto"/>
              <w:right w:val="single" w:sz="8" w:space="0" w:color="auto"/>
            </w:tcBorders>
            <w:shd w:val="clear" w:color="000000" w:fill="46BDC6"/>
            <w:vAlign w:val="center"/>
            <w:hideMark/>
          </w:tcPr>
          <w:p w14:paraId="6A59E250" w14:textId="77777777" w:rsidR="005E67EB" w:rsidRPr="00D05F4A" w:rsidRDefault="005E67EB" w:rsidP="00DB7BBA">
            <w:pPr>
              <w:spacing w:after="0" w:line="240" w:lineRule="auto"/>
              <w:rPr>
                <w:rFonts w:eastAsia="Times New Roman"/>
                <w:color w:val="000000"/>
              </w:rPr>
            </w:pPr>
            <w:r w:rsidRPr="00D05F4A">
              <w:rPr>
                <w:rFonts w:eastAsia="Times New Roman"/>
                <w:color w:val="000000"/>
              </w:rPr>
              <w:t> </w:t>
            </w:r>
          </w:p>
        </w:tc>
        <w:tc>
          <w:tcPr>
            <w:tcW w:w="0" w:type="auto"/>
            <w:tcBorders>
              <w:top w:val="nil"/>
              <w:left w:val="nil"/>
              <w:bottom w:val="single" w:sz="8" w:space="0" w:color="auto"/>
              <w:right w:val="single" w:sz="8" w:space="0" w:color="auto"/>
            </w:tcBorders>
            <w:shd w:val="clear" w:color="000000" w:fill="46BDC6"/>
            <w:noWrap/>
            <w:vAlign w:val="center"/>
            <w:hideMark/>
          </w:tcPr>
          <w:p w14:paraId="154BFD91" w14:textId="77777777" w:rsidR="005E67EB" w:rsidRPr="00D05F4A" w:rsidRDefault="005E67EB" w:rsidP="00DB7BBA">
            <w:pPr>
              <w:spacing w:after="0" w:line="240" w:lineRule="auto"/>
              <w:rPr>
                <w:rFonts w:eastAsia="Times New Roman"/>
                <w:color w:val="000000"/>
              </w:rPr>
            </w:pPr>
            <w:r w:rsidRPr="00D05F4A">
              <w:rPr>
                <w:rFonts w:eastAsia="Times New Roman"/>
                <w:color w:val="000000"/>
              </w:rPr>
              <w:t> </w:t>
            </w:r>
          </w:p>
        </w:tc>
      </w:tr>
      <w:tr w:rsidR="005E67EB" w:rsidRPr="00D05F4A" w14:paraId="24A35A62"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2B2424C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2.1: Caracterización del ecosistema educativo y análisis de brechas de competencias laborales del sector energético y offshore</w:t>
            </w:r>
          </w:p>
        </w:tc>
      </w:tr>
      <w:tr w:rsidR="005E67EB" w:rsidRPr="00D05F4A" w14:paraId="07C77F0B"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29CF19A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0917CA0D"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70AF18E8"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085B615D"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34B2E19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4D85F9AF"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27C88A8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5376988F"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56FFAD8E" w14:textId="77777777" w:rsidTr="00DB7BBA">
        <w:trPr>
          <w:trHeight w:val="1657"/>
        </w:trPr>
        <w:tc>
          <w:tcPr>
            <w:tcW w:w="0" w:type="auto"/>
            <w:tcBorders>
              <w:top w:val="nil"/>
              <w:left w:val="single" w:sz="8" w:space="0" w:color="auto"/>
              <w:bottom w:val="single" w:sz="8" w:space="0" w:color="auto"/>
              <w:right w:val="single" w:sz="8" w:space="0" w:color="auto"/>
            </w:tcBorders>
            <w:vAlign w:val="center"/>
            <w:hideMark/>
          </w:tcPr>
          <w:p w14:paraId="0B617B5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2.1.1</w:t>
            </w:r>
          </w:p>
        </w:tc>
        <w:tc>
          <w:tcPr>
            <w:tcW w:w="0" w:type="auto"/>
            <w:tcBorders>
              <w:top w:val="nil"/>
              <w:left w:val="nil"/>
              <w:bottom w:val="single" w:sz="8" w:space="0" w:color="auto"/>
              <w:right w:val="single" w:sz="8" w:space="0" w:color="auto"/>
            </w:tcBorders>
            <w:vAlign w:val="center"/>
            <w:hideMark/>
          </w:tcPr>
          <w:p w14:paraId="35C5E19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Identificación y mapeo de instituciones educativas y de formación del Distrito</w:t>
            </w:r>
          </w:p>
        </w:tc>
        <w:tc>
          <w:tcPr>
            <w:tcW w:w="0" w:type="auto"/>
            <w:tcBorders>
              <w:top w:val="nil"/>
              <w:left w:val="nil"/>
              <w:bottom w:val="single" w:sz="8" w:space="0" w:color="auto"/>
              <w:right w:val="single" w:sz="8" w:space="0" w:color="auto"/>
            </w:tcBorders>
            <w:vAlign w:val="center"/>
            <w:hideMark/>
          </w:tcPr>
          <w:p w14:paraId="036B688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La actividad comprende la caracterización del ecosistema educativo y de formación del Distrito de Santa Marta, mediante el mapeo de instituciones, programas académicos y procesos formativos vinculados al sector energético y su cadena de valor. Incluye el análisis de capacidades instaladas y limitaciones institucionales, la identificación de perfiles laborales demandados por la industria energética y offshore, y el análisis comparativo entre oferta formativa y demanda sectorial. Como resultado, se consolidará un inventario de la oferta educativa y una matriz priorizada de brechas de competencias laborales, que servirán como línea base técnica para la gestión de alianzas y el fortalecimiento del componente de talento de la Agenda Integral de Energía.</w:t>
            </w:r>
          </w:p>
        </w:tc>
        <w:tc>
          <w:tcPr>
            <w:tcW w:w="0" w:type="auto"/>
            <w:tcBorders>
              <w:top w:val="nil"/>
              <w:left w:val="nil"/>
              <w:bottom w:val="single" w:sz="8" w:space="0" w:color="auto"/>
              <w:right w:val="single" w:sz="8" w:space="0" w:color="auto"/>
            </w:tcBorders>
            <w:vAlign w:val="center"/>
            <w:hideMark/>
          </w:tcPr>
          <w:p w14:paraId="4A957EEC"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6432FDF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1345216E"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5E203DB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5</w:t>
            </w:r>
          </w:p>
        </w:tc>
        <w:tc>
          <w:tcPr>
            <w:tcW w:w="0" w:type="auto"/>
            <w:tcBorders>
              <w:top w:val="nil"/>
              <w:left w:val="nil"/>
              <w:bottom w:val="single" w:sz="8" w:space="0" w:color="auto"/>
              <w:right w:val="single" w:sz="8" w:space="0" w:color="auto"/>
            </w:tcBorders>
            <w:noWrap/>
            <w:vAlign w:val="center"/>
            <w:hideMark/>
          </w:tcPr>
          <w:p w14:paraId="15ED987D"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4C74AFD4" w14:textId="77777777" w:rsidTr="00DB7BBA">
        <w:trPr>
          <w:trHeight w:val="1492"/>
        </w:trPr>
        <w:tc>
          <w:tcPr>
            <w:tcW w:w="0" w:type="auto"/>
            <w:tcBorders>
              <w:top w:val="nil"/>
              <w:left w:val="single" w:sz="8" w:space="0" w:color="auto"/>
              <w:bottom w:val="single" w:sz="8" w:space="0" w:color="auto"/>
              <w:right w:val="single" w:sz="8" w:space="0" w:color="auto"/>
            </w:tcBorders>
            <w:vAlign w:val="center"/>
            <w:hideMark/>
          </w:tcPr>
          <w:p w14:paraId="29B1F8A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2.1.2</w:t>
            </w:r>
          </w:p>
        </w:tc>
        <w:tc>
          <w:tcPr>
            <w:tcW w:w="0" w:type="auto"/>
            <w:tcBorders>
              <w:top w:val="nil"/>
              <w:left w:val="nil"/>
              <w:bottom w:val="single" w:sz="8" w:space="0" w:color="auto"/>
              <w:right w:val="single" w:sz="8" w:space="0" w:color="auto"/>
            </w:tcBorders>
            <w:vAlign w:val="center"/>
            <w:hideMark/>
          </w:tcPr>
          <w:p w14:paraId="2B9BFC6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de Articulación y Alianzas para el Desarrollo del Talento Energético</w:t>
            </w:r>
          </w:p>
        </w:tc>
        <w:tc>
          <w:tcPr>
            <w:tcW w:w="0" w:type="auto"/>
            <w:tcBorders>
              <w:top w:val="nil"/>
              <w:left w:val="nil"/>
              <w:bottom w:val="single" w:sz="8" w:space="0" w:color="auto"/>
              <w:right w:val="single" w:sz="8" w:space="0" w:color="auto"/>
            </w:tcBorders>
            <w:shd w:val="clear" w:color="000000" w:fill="FFFFFF"/>
            <w:vAlign w:val="center"/>
            <w:hideMark/>
          </w:tcPr>
          <w:p w14:paraId="1A2DB815"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en administración, economía, ingeniería o áreas afines, y experiencia mínima de tres (3) años en articulación institucional y fortalecimiento del ecosistema productivo. Será responsable de gestionar alianzas con instituciones educativas, sector empresarial y entidades públicas para la formación en competencias laborales del sector energético y su cadena de valor, apoyar la identificación de brechas de talento, coordinar espacios de articulación sectorial y realizar seguimiento a los compromisos establecidos, contribuyendo al fortalecimiento del capital humano requerido por la Agenda Integral de Energía. Ejecutará sus actividades por 5 meses durante el proyecto.</w:t>
            </w:r>
          </w:p>
        </w:tc>
        <w:tc>
          <w:tcPr>
            <w:tcW w:w="0" w:type="auto"/>
            <w:tcBorders>
              <w:top w:val="nil"/>
              <w:left w:val="nil"/>
              <w:bottom w:val="single" w:sz="8" w:space="0" w:color="auto"/>
              <w:right w:val="single" w:sz="8" w:space="0" w:color="auto"/>
            </w:tcBorders>
            <w:vAlign w:val="center"/>
            <w:hideMark/>
          </w:tcPr>
          <w:p w14:paraId="66FBC2DC"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636F6BD4"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44889229"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465C092F"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noWrap/>
            <w:vAlign w:val="center"/>
            <w:hideMark/>
          </w:tcPr>
          <w:p w14:paraId="53D92531"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7527AC7D"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338A287D"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2.1</w:t>
            </w:r>
          </w:p>
        </w:tc>
        <w:tc>
          <w:tcPr>
            <w:tcW w:w="0" w:type="auto"/>
            <w:tcBorders>
              <w:top w:val="nil"/>
              <w:left w:val="nil"/>
              <w:bottom w:val="single" w:sz="8" w:space="0" w:color="auto"/>
              <w:right w:val="single" w:sz="8" w:space="0" w:color="auto"/>
            </w:tcBorders>
            <w:shd w:val="clear" w:color="000000" w:fill="EFEFEF"/>
            <w:vAlign w:val="center"/>
            <w:hideMark/>
          </w:tcPr>
          <w:p w14:paraId="56402065"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428CF671"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0E112389"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2.2: Gestión e instalación de alianzas para la formación laboral sectorial.</w:t>
            </w:r>
          </w:p>
        </w:tc>
      </w:tr>
      <w:tr w:rsidR="005E67EB" w:rsidRPr="00D05F4A" w14:paraId="48AECA82"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34D7255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3CBF6D37"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16CDBA3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D6C89CB"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77EF201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2BAEE93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7035111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3EDD3E6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218CE1A1" w14:textId="77777777" w:rsidTr="00DB7BBA">
        <w:trPr>
          <w:trHeight w:val="1492"/>
        </w:trPr>
        <w:tc>
          <w:tcPr>
            <w:tcW w:w="0" w:type="auto"/>
            <w:tcBorders>
              <w:top w:val="nil"/>
              <w:left w:val="single" w:sz="8" w:space="0" w:color="auto"/>
              <w:bottom w:val="single" w:sz="8" w:space="0" w:color="auto"/>
              <w:right w:val="single" w:sz="8" w:space="0" w:color="auto"/>
            </w:tcBorders>
            <w:vAlign w:val="center"/>
            <w:hideMark/>
          </w:tcPr>
          <w:p w14:paraId="749BAAB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2.2.1</w:t>
            </w:r>
          </w:p>
        </w:tc>
        <w:tc>
          <w:tcPr>
            <w:tcW w:w="0" w:type="auto"/>
            <w:tcBorders>
              <w:top w:val="nil"/>
              <w:left w:val="nil"/>
              <w:bottom w:val="single" w:sz="8" w:space="0" w:color="auto"/>
              <w:right w:val="single" w:sz="8" w:space="0" w:color="auto"/>
            </w:tcBorders>
            <w:vAlign w:val="center"/>
            <w:hideMark/>
          </w:tcPr>
          <w:p w14:paraId="12F08E3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de Gestión Técnica</w:t>
            </w:r>
          </w:p>
        </w:tc>
        <w:tc>
          <w:tcPr>
            <w:tcW w:w="0" w:type="auto"/>
            <w:tcBorders>
              <w:top w:val="nil"/>
              <w:left w:val="nil"/>
              <w:bottom w:val="single" w:sz="8" w:space="0" w:color="auto"/>
              <w:right w:val="single" w:sz="8" w:space="0" w:color="auto"/>
            </w:tcBorders>
            <w:vAlign w:val="center"/>
            <w:hideMark/>
          </w:tcPr>
          <w:p w14:paraId="318B965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Profesional en administración, ingeniería, economía, negocios internacionales o áreas afines, con experiencia en apoyo a la gestión de proyectos </w:t>
            </w:r>
            <w:proofErr w:type="spellStart"/>
            <w:r w:rsidRPr="00D05F4A">
              <w:rPr>
                <w:rFonts w:eastAsia="Times New Roman"/>
                <w:color w:val="000000"/>
                <w:sz w:val="13"/>
                <w:szCs w:val="13"/>
              </w:rPr>
              <w:t>minimo</w:t>
            </w:r>
            <w:proofErr w:type="spellEnd"/>
            <w:r w:rsidRPr="00D05F4A">
              <w:rPr>
                <w:rFonts w:eastAsia="Times New Roman"/>
                <w:color w:val="000000"/>
                <w:sz w:val="13"/>
                <w:szCs w:val="13"/>
              </w:rPr>
              <w:t xml:space="preserve"> de 1 año. Apoyará en la consolidación, monitoreo y cierre de las alianzas para la formación en competencias laborales del sector energético y su cadena de valor. Será responsable de realizar acompañamiento a los actores vinculados, verificar el cumplimiento de compromisos, organizar información técnica y documental, y apoyar la preparación de insumos necesarios para el cierre del proyecto, contribuyendo al logro de los resultados establecidos en la Agenda Integral de Energía. Ejecutará sus actividades por 4 meses durante el proyecto.</w:t>
            </w:r>
          </w:p>
        </w:tc>
        <w:tc>
          <w:tcPr>
            <w:tcW w:w="0" w:type="auto"/>
            <w:tcBorders>
              <w:top w:val="nil"/>
              <w:left w:val="nil"/>
              <w:bottom w:val="single" w:sz="8" w:space="0" w:color="auto"/>
              <w:right w:val="single" w:sz="8" w:space="0" w:color="auto"/>
            </w:tcBorders>
            <w:vAlign w:val="center"/>
            <w:hideMark/>
          </w:tcPr>
          <w:p w14:paraId="53134558"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vAlign w:val="center"/>
            <w:hideMark/>
          </w:tcPr>
          <w:p w14:paraId="2558349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vAlign w:val="center"/>
            <w:hideMark/>
          </w:tcPr>
          <w:p w14:paraId="43E61C62"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vAlign w:val="center"/>
            <w:hideMark/>
          </w:tcPr>
          <w:p w14:paraId="6DDBB6C9"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w:t>
            </w:r>
          </w:p>
        </w:tc>
        <w:tc>
          <w:tcPr>
            <w:tcW w:w="0" w:type="auto"/>
            <w:tcBorders>
              <w:top w:val="nil"/>
              <w:left w:val="nil"/>
              <w:bottom w:val="single" w:sz="8" w:space="0" w:color="auto"/>
              <w:right w:val="single" w:sz="8" w:space="0" w:color="auto"/>
            </w:tcBorders>
            <w:vAlign w:val="center"/>
            <w:hideMark/>
          </w:tcPr>
          <w:p w14:paraId="21003F66"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06009EF0"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vAlign w:val="center"/>
            <w:hideMark/>
          </w:tcPr>
          <w:p w14:paraId="34B8B27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2.3</w:t>
            </w:r>
          </w:p>
        </w:tc>
        <w:tc>
          <w:tcPr>
            <w:tcW w:w="0" w:type="auto"/>
            <w:tcBorders>
              <w:top w:val="nil"/>
              <w:left w:val="nil"/>
              <w:bottom w:val="single" w:sz="8" w:space="0" w:color="auto"/>
              <w:right w:val="single" w:sz="8" w:space="0" w:color="auto"/>
            </w:tcBorders>
            <w:shd w:val="clear" w:color="000000" w:fill="EFEFEF"/>
            <w:vAlign w:val="center"/>
            <w:hideMark/>
          </w:tcPr>
          <w:p w14:paraId="2CA30B98"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428E174B" w14:textId="77777777" w:rsidTr="00DB7BBA">
        <w:trPr>
          <w:trHeight w:val="311"/>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60DE130F"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OBJETIVO ESPECIFICO 3: Promocionar, facilitar inversión y gestionar oportunidades del sector energético en Santa Marta.</w:t>
            </w:r>
          </w:p>
        </w:tc>
      </w:tr>
      <w:tr w:rsidR="005E67EB" w:rsidRPr="00D05F4A" w14:paraId="55306568"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602060D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3.1: Coordinación del proyecto</w:t>
            </w:r>
          </w:p>
        </w:tc>
      </w:tr>
      <w:tr w:rsidR="005E67EB" w:rsidRPr="00D05F4A" w14:paraId="552B0072"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3CAF3B4C"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2982976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11F6CDCB"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44419EE4"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247968DF"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60B8F6E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32E49EC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07AB6414"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2DC3F78B" w14:textId="77777777" w:rsidTr="00DB7BBA">
        <w:trPr>
          <w:trHeight w:val="1328"/>
        </w:trPr>
        <w:tc>
          <w:tcPr>
            <w:tcW w:w="0" w:type="auto"/>
            <w:tcBorders>
              <w:top w:val="nil"/>
              <w:left w:val="single" w:sz="8" w:space="0" w:color="auto"/>
              <w:bottom w:val="single" w:sz="8" w:space="0" w:color="auto"/>
              <w:right w:val="single" w:sz="8" w:space="0" w:color="auto"/>
            </w:tcBorders>
            <w:vAlign w:val="center"/>
            <w:hideMark/>
          </w:tcPr>
          <w:p w14:paraId="6DBD038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3.1.1</w:t>
            </w:r>
          </w:p>
        </w:tc>
        <w:tc>
          <w:tcPr>
            <w:tcW w:w="0" w:type="auto"/>
            <w:tcBorders>
              <w:top w:val="nil"/>
              <w:left w:val="nil"/>
              <w:bottom w:val="single" w:sz="8" w:space="0" w:color="auto"/>
              <w:right w:val="single" w:sz="8" w:space="0" w:color="auto"/>
            </w:tcBorders>
            <w:vAlign w:val="center"/>
            <w:hideMark/>
          </w:tcPr>
          <w:p w14:paraId="073E5F3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Asistente Administrativo</w:t>
            </w:r>
          </w:p>
        </w:tc>
        <w:tc>
          <w:tcPr>
            <w:tcW w:w="0" w:type="auto"/>
            <w:tcBorders>
              <w:top w:val="nil"/>
              <w:left w:val="nil"/>
              <w:bottom w:val="single" w:sz="8" w:space="0" w:color="auto"/>
              <w:right w:val="single" w:sz="8" w:space="0" w:color="auto"/>
            </w:tcBorders>
            <w:vAlign w:val="center"/>
            <w:hideMark/>
          </w:tcPr>
          <w:p w14:paraId="7ED87C5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Técnico, tecnólogo o profesional en áreas administrativas o afines, con conocimientos en apoyo operativo y gestión documental de </w:t>
            </w:r>
            <w:proofErr w:type="spellStart"/>
            <w:r w:rsidRPr="00D05F4A">
              <w:rPr>
                <w:rFonts w:eastAsia="Times New Roman"/>
                <w:color w:val="000000"/>
                <w:sz w:val="13"/>
                <w:szCs w:val="13"/>
              </w:rPr>
              <w:t>minimo</w:t>
            </w:r>
            <w:proofErr w:type="spellEnd"/>
            <w:r w:rsidRPr="00D05F4A">
              <w:rPr>
                <w:rFonts w:eastAsia="Times New Roman"/>
                <w:color w:val="000000"/>
                <w:sz w:val="13"/>
                <w:szCs w:val="13"/>
              </w:rPr>
              <w:t xml:space="preserve"> 1 año. Será responsable de apoyar las labores administrativas del proyecto, organización de archivos físicos y digitales, elaboración y control de documentos, apoyo logístico a reuniones y actividades, y acompañamiento a los equipos técnicos, contribuyendo al adecuado desarrollo de las actividades y al cumplimiento del cronograma establecido. Ejecutará sus actividades por 8 meses durante el proyecto.</w:t>
            </w:r>
          </w:p>
        </w:tc>
        <w:tc>
          <w:tcPr>
            <w:tcW w:w="0" w:type="auto"/>
            <w:tcBorders>
              <w:top w:val="nil"/>
              <w:left w:val="nil"/>
              <w:bottom w:val="single" w:sz="8" w:space="0" w:color="auto"/>
              <w:right w:val="single" w:sz="8" w:space="0" w:color="auto"/>
            </w:tcBorders>
            <w:vAlign w:val="center"/>
            <w:hideMark/>
          </w:tcPr>
          <w:p w14:paraId="522776B0"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4F0130A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7BB45406"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500876D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noWrap/>
            <w:vAlign w:val="center"/>
            <w:hideMark/>
          </w:tcPr>
          <w:p w14:paraId="6FC32DE1"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0CF4ED31" w14:textId="77777777" w:rsidTr="00DB7BBA">
        <w:trPr>
          <w:trHeight w:val="1328"/>
        </w:trPr>
        <w:tc>
          <w:tcPr>
            <w:tcW w:w="0" w:type="auto"/>
            <w:tcBorders>
              <w:top w:val="nil"/>
              <w:left w:val="single" w:sz="8" w:space="0" w:color="auto"/>
              <w:bottom w:val="single" w:sz="8" w:space="0" w:color="auto"/>
              <w:right w:val="single" w:sz="8" w:space="0" w:color="auto"/>
            </w:tcBorders>
            <w:vAlign w:val="center"/>
            <w:hideMark/>
          </w:tcPr>
          <w:p w14:paraId="51FC4B1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3.1.2</w:t>
            </w:r>
          </w:p>
        </w:tc>
        <w:tc>
          <w:tcPr>
            <w:tcW w:w="0" w:type="auto"/>
            <w:tcBorders>
              <w:top w:val="nil"/>
              <w:left w:val="nil"/>
              <w:bottom w:val="single" w:sz="8" w:space="0" w:color="auto"/>
              <w:right w:val="single" w:sz="8" w:space="0" w:color="auto"/>
            </w:tcBorders>
            <w:vAlign w:val="center"/>
            <w:hideMark/>
          </w:tcPr>
          <w:p w14:paraId="56D88E29"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Gestor de Comunicaciones</w:t>
            </w:r>
          </w:p>
        </w:tc>
        <w:tc>
          <w:tcPr>
            <w:tcW w:w="0" w:type="auto"/>
            <w:tcBorders>
              <w:top w:val="nil"/>
              <w:left w:val="nil"/>
              <w:bottom w:val="single" w:sz="8" w:space="0" w:color="auto"/>
              <w:right w:val="single" w:sz="8" w:space="0" w:color="auto"/>
            </w:tcBorders>
            <w:vAlign w:val="center"/>
            <w:hideMark/>
          </w:tcPr>
          <w:p w14:paraId="4CD2A39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Profesional en comunicación social, periodismo, mercadeo, publicidad o áreas afines, con experiencia en gestión de comunicaciones institucionales. Será responsable de planificar, coordinar y ejecutar las acciones de comunicación del proyecto, apoyar la elaboración de contenidos, gestionar canales de difusión, realizar seguimiento a las estrategias comunicativas y contribuir al posicionamiento, </w:t>
            </w:r>
            <w:proofErr w:type="spellStart"/>
            <w:r w:rsidRPr="00D05F4A">
              <w:rPr>
                <w:rFonts w:eastAsia="Times New Roman"/>
                <w:color w:val="000000"/>
                <w:sz w:val="13"/>
                <w:szCs w:val="13"/>
              </w:rPr>
              <w:t>visibilización</w:t>
            </w:r>
            <w:proofErr w:type="spellEnd"/>
            <w:r w:rsidRPr="00D05F4A">
              <w:rPr>
                <w:rFonts w:eastAsia="Times New Roman"/>
                <w:color w:val="000000"/>
                <w:sz w:val="13"/>
                <w:szCs w:val="13"/>
              </w:rPr>
              <w:t xml:space="preserve"> y adecuada divulgación de la Agenda Integral de Energía ante actores institucionales, empresariales y comunitarios. Ejecutará sus actividades por 8 meses durante el proyecto.</w:t>
            </w:r>
          </w:p>
        </w:tc>
        <w:tc>
          <w:tcPr>
            <w:tcW w:w="0" w:type="auto"/>
            <w:tcBorders>
              <w:top w:val="nil"/>
              <w:left w:val="nil"/>
              <w:bottom w:val="single" w:sz="8" w:space="0" w:color="auto"/>
              <w:right w:val="single" w:sz="8" w:space="0" w:color="auto"/>
            </w:tcBorders>
            <w:vAlign w:val="center"/>
            <w:hideMark/>
          </w:tcPr>
          <w:p w14:paraId="47D9E85D"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0DB406D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4E770B6B"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47FDF33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noWrap/>
            <w:vAlign w:val="center"/>
            <w:hideMark/>
          </w:tcPr>
          <w:p w14:paraId="74697686"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50442E90" w14:textId="77777777" w:rsidTr="00DB7BBA">
        <w:trPr>
          <w:trHeight w:val="1492"/>
        </w:trPr>
        <w:tc>
          <w:tcPr>
            <w:tcW w:w="0" w:type="auto"/>
            <w:tcBorders>
              <w:top w:val="nil"/>
              <w:left w:val="single" w:sz="8" w:space="0" w:color="auto"/>
              <w:bottom w:val="single" w:sz="8" w:space="0" w:color="auto"/>
              <w:right w:val="single" w:sz="8" w:space="0" w:color="auto"/>
            </w:tcBorders>
            <w:vAlign w:val="center"/>
            <w:hideMark/>
          </w:tcPr>
          <w:p w14:paraId="2B3C23A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3.1.3</w:t>
            </w:r>
          </w:p>
        </w:tc>
        <w:tc>
          <w:tcPr>
            <w:tcW w:w="0" w:type="auto"/>
            <w:tcBorders>
              <w:top w:val="nil"/>
              <w:left w:val="nil"/>
              <w:bottom w:val="single" w:sz="8" w:space="0" w:color="auto"/>
              <w:right w:val="single" w:sz="8" w:space="0" w:color="auto"/>
            </w:tcBorders>
            <w:vAlign w:val="center"/>
            <w:hideMark/>
          </w:tcPr>
          <w:p w14:paraId="3D318A8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Servicio de comunicaciones y posicionamiento de la agenda integral de energía offshore</w:t>
            </w:r>
          </w:p>
        </w:tc>
        <w:tc>
          <w:tcPr>
            <w:tcW w:w="0" w:type="auto"/>
            <w:tcBorders>
              <w:top w:val="nil"/>
              <w:left w:val="nil"/>
              <w:bottom w:val="single" w:sz="8" w:space="0" w:color="auto"/>
              <w:right w:val="single" w:sz="8" w:space="0" w:color="auto"/>
            </w:tcBorders>
            <w:vAlign w:val="center"/>
            <w:hideMark/>
          </w:tcPr>
          <w:p w14:paraId="309B247F"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Esta actividad estará orientada al fortalecimiento de la visibilidad y posicionamiento de la Agenda Integral de Energía Offshore del Distrito de Santa Marta, mediante acciones de comunicación estratégica. Contempla el alquiler de equipos audiovisuales, incluyendo cámara de video, micrófono y computador con capacidad mínima de 16 GB de RAM, así como el uso de software de edición para la producción de contenidos y otros. Incluye la ejecución de cuatro (4) campañas publicitarias, el cubrimiento comunicacional de reuniones y eventos del proyecto y la logística necesaria para el desarrollo de estas actividades, con el fin de apoyar la divulgación y promoción de la Agenda ante actores estratégicos.</w:t>
            </w:r>
          </w:p>
        </w:tc>
        <w:tc>
          <w:tcPr>
            <w:tcW w:w="0" w:type="auto"/>
            <w:tcBorders>
              <w:top w:val="nil"/>
              <w:left w:val="nil"/>
              <w:bottom w:val="single" w:sz="8" w:space="0" w:color="auto"/>
              <w:right w:val="single" w:sz="8" w:space="0" w:color="auto"/>
            </w:tcBorders>
            <w:vAlign w:val="center"/>
            <w:hideMark/>
          </w:tcPr>
          <w:p w14:paraId="4AD3E75D"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noWrap/>
            <w:vAlign w:val="center"/>
            <w:hideMark/>
          </w:tcPr>
          <w:p w14:paraId="3E5FC2B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7ABD977B"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566941F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7</w:t>
            </w:r>
          </w:p>
        </w:tc>
        <w:tc>
          <w:tcPr>
            <w:tcW w:w="0" w:type="auto"/>
            <w:tcBorders>
              <w:top w:val="nil"/>
              <w:left w:val="nil"/>
              <w:bottom w:val="single" w:sz="8" w:space="0" w:color="auto"/>
              <w:right w:val="single" w:sz="8" w:space="0" w:color="auto"/>
            </w:tcBorders>
            <w:noWrap/>
            <w:vAlign w:val="center"/>
            <w:hideMark/>
          </w:tcPr>
          <w:p w14:paraId="1F13A8EC"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16AB3372"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62BB396E"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3.1</w:t>
            </w:r>
          </w:p>
        </w:tc>
        <w:tc>
          <w:tcPr>
            <w:tcW w:w="0" w:type="auto"/>
            <w:tcBorders>
              <w:top w:val="nil"/>
              <w:left w:val="nil"/>
              <w:bottom w:val="single" w:sz="8" w:space="0" w:color="auto"/>
              <w:right w:val="single" w:sz="8" w:space="0" w:color="auto"/>
            </w:tcBorders>
            <w:shd w:val="clear" w:color="000000" w:fill="EFEFEF"/>
            <w:noWrap/>
            <w:vAlign w:val="center"/>
            <w:hideMark/>
          </w:tcPr>
          <w:p w14:paraId="4397191D"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21777056"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40E161F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3.2: Diseño de la estrategia de promoción y atracción de inversión energética</w:t>
            </w:r>
          </w:p>
        </w:tc>
      </w:tr>
      <w:tr w:rsidR="005E67EB" w:rsidRPr="00D05F4A" w14:paraId="25AE05FD"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7E1D4A89"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44C16BE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4B5603D7"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3DDE3768"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110064A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572131C7"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2F7F8F7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4BAF787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292B2DA6" w14:textId="77777777" w:rsidTr="00DB7BBA">
        <w:trPr>
          <w:trHeight w:val="1492"/>
        </w:trPr>
        <w:tc>
          <w:tcPr>
            <w:tcW w:w="0" w:type="auto"/>
            <w:tcBorders>
              <w:top w:val="nil"/>
              <w:left w:val="single" w:sz="8" w:space="0" w:color="auto"/>
              <w:bottom w:val="single" w:sz="8" w:space="0" w:color="auto"/>
              <w:right w:val="single" w:sz="8" w:space="0" w:color="auto"/>
            </w:tcBorders>
            <w:vAlign w:val="center"/>
            <w:hideMark/>
          </w:tcPr>
          <w:p w14:paraId="202885B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3.2.1</w:t>
            </w:r>
          </w:p>
        </w:tc>
        <w:tc>
          <w:tcPr>
            <w:tcW w:w="0" w:type="auto"/>
            <w:tcBorders>
              <w:top w:val="nil"/>
              <w:left w:val="nil"/>
              <w:bottom w:val="single" w:sz="8" w:space="0" w:color="auto"/>
              <w:right w:val="single" w:sz="8" w:space="0" w:color="auto"/>
            </w:tcBorders>
            <w:vAlign w:val="center"/>
            <w:hideMark/>
          </w:tcPr>
          <w:p w14:paraId="4D9D956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Definición de la estrategia de promoción e internacionalización de la Agenda Integral de Energía</w:t>
            </w:r>
          </w:p>
        </w:tc>
        <w:tc>
          <w:tcPr>
            <w:tcW w:w="0" w:type="auto"/>
            <w:tcBorders>
              <w:top w:val="nil"/>
              <w:left w:val="nil"/>
              <w:bottom w:val="single" w:sz="8" w:space="0" w:color="auto"/>
              <w:right w:val="single" w:sz="8" w:space="0" w:color="auto"/>
            </w:tcBorders>
            <w:vAlign w:val="center"/>
            <w:hideMark/>
          </w:tcPr>
          <w:p w14:paraId="3179F39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La actividad comprende la definición de la estrategia de promoción e internacionalización de la Agenda Integral de Energía, mediante la segmentación estratégica del mercado por verticales del sector energético, la priorización de mercados y países objetivo, y la construcción de propuestas de valor diferenciadas para cada tipo de inversionista. Asimismo, se establecerán indicadores de desempeño que permitan medir la efectividad de la promoción y la conversión hacia oportunidades reales de inversión, asegurando trazabilidad, enfoque comercial y articulación con el sistema de gestión del pipeline de inversión.</w:t>
            </w:r>
          </w:p>
        </w:tc>
        <w:tc>
          <w:tcPr>
            <w:tcW w:w="0" w:type="auto"/>
            <w:tcBorders>
              <w:top w:val="nil"/>
              <w:left w:val="nil"/>
              <w:bottom w:val="single" w:sz="8" w:space="0" w:color="auto"/>
              <w:right w:val="single" w:sz="8" w:space="0" w:color="auto"/>
            </w:tcBorders>
            <w:vAlign w:val="center"/>
            <w:hideMark/>
          </w:tcPr>
          <w:p w14:paraId="2E832A98"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noWrap/>
            <w:vAlign w:val="center"/>
            <w:hideMark/>
          </w:tcPr>
          <w:p w14:paraId="7905E64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7260228F"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6D1AB00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0" w:type="auto"/>
            <w:tcBorders>
              <w:top w:val="nil"/>
              <w:left w:val="nil"/>
              <w:bottom w:val="single" w:sz="8" w:space="0" w:color="auto"/>
              <w:right w:val="single" w:sz="8" w:space="0" w:color="auto"/>
            </w:tcBorders>
            <w:noWrap/>
            <w:vAlign w:val="center"/>
            <w:hideMark/>
          </w:tcPr>
          <w:p w14:paraId="33DFBB8F"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74F2E4E1"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788304D4"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3.2</w:t>
            </w:r>
          </w:p>
        </w:tc>
        <w:tc>
          <w:tcPr>
            <w:tcW w:w="0" w:type="auto"/>
            <w:tcBorders>
              <w:top w:val="nil"/>
              <w:left w:val="nil"/>
              <w:bottom w:val="single" w:sz="8" w:space="0" w:color="auto"/>
              <w:right w:val="single" w:sz="8" w:space="0" w:color="auto"/>
            </w:tcBorders>
            <w:shd w:val="clear" w:color="000000" w:fill="EFEFEF"/>
            <w:noWrap/>
            <w:vAlign w:val="center"/>
            <w:hideMark/>
          </w:tcPr>
          <w:p w14:paraId="555D3CD0"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2B708D78"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25438C78"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 xml:space="preserve">ACTIVIDAD 3.3: Servicio de </w:t>
            </w:r>
            <w:proofErr w:type="spellStart"/>
            <w:r w:rsidRPr="00D05F4A">
              <w:rPr>
                <w:rFonts w:eastAsia="Times New Roman"/>
                <w:b/>
                <w:bCs/>
                <w:color w:val="000000"/>
                <w:sz w:val="13"/>
                <w:szCs w:val="13"/>
              </w:rPr>
              <w:t>onstrucción</w:t>
            </w:r>
            <w:proofErr w:type="spellEnd"/>
            <w:r w:rsidRPr="00D05F4A">
              <w:rPr>
                <w:rFonts w:eastAsia="Times New Roman"/>
                <w:b/>
                <w:bCs/>
                <w:color w:val="000000"/>
                <w:sz w:val="13"/>
                <w:szCs w:val="13"/>
              </w:rPr>
              <w:t xml:space="preserve"> de la oferta de inversión y herramientas de promoción territorial</w:t>
            </w:r>
          </w:p>
        </w:tc>
      </w:tr>
      <w:tr w:rsidR="005E67EB" w:rsidRPr="00D05F4A" w14:paraId="0205530D"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17EFFF1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6D19448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7D66097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4E85023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5FB249C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55C421D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60522B50"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4B54747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4EB14E7E" w14:textId="77777777" w:rsidTr="00DB7BBA">
        <w:trPr>
          <w:trHeight w:val="1492"/>
        </w:trPr>
        <w:tc>
          <w:tcPr>
            <w:tcW w:w="0" w:type="auto"/>
            <w:tcBorders>
              <w:top w:val="nil"/>
              <w:left w:val="single" w:sz="8" w:space="0" w:color="auto"/>
              <w:bottom w:val="single" w:sz="8" w:space="0" w:color="auto"/>
              <w:right w:val="single" w:sz="8" w:space="0" w:color="auto"/>
            </w:tcBorders>
            <w:vAlign w:val="center"/>
            <w:hideMark/>
          </w:tcPr>
          <w:p w14:paraId="214FCE5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3.3.1</w:t>
            </w:r>
          </w:p>
        </w:tc>
        <w:tc>
          <w:tcPr>
            <w:tcW w:w="0" w:type="auto"/>
            <w:tcBorders>
              <w:top w:val="nil"/>
              <w:left w:val="nil"/>
              <w:bottom w:val="single" w:sz="8" w:space="0" w:color="auto"/>
              <w:right w:val="single" w:sz="8" w:space="0" w:color="auto"/>
            </w:tcBorders>
            <w:vAlign w:val="center"/>
            <w:hideMark/>
          </w:tcPr>
          <w:p w14:paraId="0DAB0D44"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Elaborar el paquete de inversión: </w:t>
            </w:r>
            <w:proofErr w:type="spellStart"/>
            <w:r w:rsidRPr="00D05F4A">
              <w:rPr>
                <w:rFonts w:eastAsia="Times New Roman"/>
                <w:color w:val="000000"/>
                <w:sz w:val="13"/>
                <w:szCs w:val="13"/>
              </w:rPr>
              <w:t>deck</w:t>
            </w:r>
            <w:proofErr w:type="spellEnd"/>
            <w:r w:rsidRPr="00D05F4A">
              <w:rPr>
                <w:rFonts w:eastAsia="Times New Roman"/>
                <w:color w:val="000000"/>
                <w:sz w:val="13"/>
                <w:szCs w:val="13"/>
              </w:rPr>
              <w:t xml:space="preserve">, fichas de proyectos, </w:t>
            </w:r>
            <w:proofErr w:type="spellStart"/>
            <w:r w:rsidRPr="00D05F4A">
              <w:rPr>
                <w:rFonts w:eastAsia="Times New Roman"/>
                <w:color w:val="000000"/>
                <w:sz w:val="13"/>
                <w:szCs w:val="13"/>
              </w:rPr>
              <w:t>one-pagers</w:t>
            </w:r>
            <w:proofErr w:type="spellEnd"/>
            <w:r w:rsidRPr="00D05F4A">
              <w:rPr>
                <w:rFonts w:eastAsia="Times New Roman"/>
                <w:color w:val="000000"/>
                <w:sz w:val="13"/>
                <w:szCs w:val="13"/>
              </w:rPr>
              <w:t xml:space="preserve"> y argumentario</w:t>
            </w:r>
          </w:p>
        </w:tc>
        <w:tc>
          <w:tcPr>
            <w:tcW w:w="0" w:type="auto"/>
            <w:tcBorders>
              <w:top w:val="nil"/>
              <w:left w:val="nil"/>
              <w:bottom w:val="single" w:sz="8" w:space="0" w:color="auto"/>
              <w:right w:val="single" w:sz="8" w:space="0" w:color="auto"/>
            </w:tcBorders>
            <w:vAlign w:val="center"/>
            <w:hideMark/>
          </w:tcPr>
          <w:p w14:paraId="76289C4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Se elaborará un paquete integral de inversión que traduzca la Agenda y el portafolio en piezas comerciales y técnicas listas para negociación con actores nacionales e internacionales. El paquete incluirá un </w:t>
            </w:r>
            <w:proofErr w:type="spellStart"/>
            <w:r w:rsidRPr="00D05F4A">
              <w:rPr>
                <w:rFonts w:eastAsia="Times New Roman"/>
                <w:color w:val="000000"/>
                <w:sz w:val="13"/>
                <w:szCs w:val="13"/>
              </w:rPr>
              <w:t>deck</w:t>
            </w:r>
            <w:proofErr w:type="spellEnd"/>
            <w:r w:rsidRPr="00D05F4A">
              <w:rPr>
                <w:rFonts w:eastAsia="Times New Roman"/>
                <w:color w:val="000000"/>
                <w:sz w:val="13"/>
                <w:szCs w:val="13"/>
              </w:rPr>
              <w:t xml:space="preserve"> ejecutivo, fichas estandarizadas de proyectos, </w:t>
            </w:r>
            <w:proofErr w:type="spellStart"/>
            <w:r w:rsidRPr="00D05F4A">
              <w:rPr>
                <w:rFonts w:eastAsia="Times New Roman"/>
                <w:color w:val="000000"/>
                <w:sz w:val="13"/>
                <w:szCs w:val="13"/>
              </w:rPr>
              <w:t>one-pagers</w:t>
            </w:r>
            <w:proofErr w:type="spellEnd"/>
            <w:r w:rsidRPr="00D05F4A">
              <w:rPr>
                <w:rFonts w:eastAsia="Times New Roman"/>
                <w:color w:val="000000"/>
                <w:sz w:val="13"/>
                <w:szCs w:val="13"/>
              </w:rPr>
              <w:t xml:space="preserve"> por vertical y un argumentario con mensajes clave para reuniones, misiones y eventos en formato digital. Se garantizará coherencia entre narrativa territorial, rol energético, proyectos priorizados, habilitantes y hoja de ruta, evitando contradicciones o vacíos de información. Además, se establecerá un protocolo de actualización y control de versiones, asegurando que el material se mantenga vigente y confiable frente a inversionistas.</w:t>
            </w:r>
          </w:p>
        </w:tc>
        <w:tc>
          <w:tcPr>
            <w:tcW w:w="0" w:type="auto"/>
            <w:tcBorders>
              <w:top w:val="nil"/>
              <w:left w:val="nil"/>
              <w:bottom w:val="single" w:sz="8" w:space="0" w:color="auto"/>
              <w:right w:val="single" w:sz="8" w:space="0" w:color="auto"/>
            </w:tcBorders>
            <w:vAlign w:val="center"/>
            <w:hideMark/>
          </w:tcPr>
          <w:p w14:paraId="0F0040F0"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17C7F575"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6D203ACE" w14:textId="77777777" w:rsidR="005E67EB" w:rsidRPr="00D05F4A" w:rsidRDefault="005E67EB" w:rsidP="00DB7BBA">
            <w:pPr>
              <w:spacing w:after="0" w:line="240" w:lineRule="auto"/>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087CDE9C"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0" w:type="auto"/>
            <w:tcBorders>
              <w:top w:val="nil"/>
              <w:left w:val="nil"/>
              <w:bottom w:val="single" w:sz="8" w:space="0" w:color="auto"/>
              <w:right w:val="single" w:sz="8" w:space="0" w:color="auto"/>
            </w:tcBorders>
            <w:noWrap/>
            <w:vAlign w:val="center"/>
            <w:hideMark/>
          </w:tcPr>
          <w:p w14:paraId="3974BE32"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023CB91C" w14:textId="77777777" w:rsidTr="00DB7BBA">
        <w:trPr>
          <w:trHeight w:val="1657"/>
        </w:trPr>
        <w:tc>
          <w:tcPr>
            <w:tcW w:w="0" w:type="auto"/>
            <w:tcBorders>
              <w:top w:val="nil"/>
              <w:left w:val="single" w:sz="8" w:space="0" w:color="auto"/>
              <w:bottom w:val="single" w:sz="8" w:space="0" w:color="auto"/>
              <w:right w:val="single" w:sz="8" w:space="0" w:color="auto"/>
            </w:tcBorders>
            <w:vAlign w:val="center"/>
            <w:hideMark/>
          </w:tcPr>
          <w:p w14:paraId="031D18CF"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3.3.2</w:t>
            </w:r>
          </w:p>
        </w:tc>
        <w:tc>
          <w:tcPr>
            <w:tcW w:w="0" w:type="auto"/>
            <w:tcBorders>
              <w:top w:val="nil"/>
              <w:left w:val="nil"/>
              <w:bottom w:val="single" w:sz="8" w:space="0" w:color="auto"/>
              <w:right w:val="single" w:sz="8" w:space="0" w:color="auto"/>
            </w:tcBorders>
            <w:shd w:val="clear" w:color="000000" w:fill="FFFFFF"/>
            <w:vAlign w:val="center"/>
            <w:hideMark/>
          </w:tcPr>
          <w:p w14:paraId="0E4D794C"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Servicio de </w:t>
            </w:r>
            <w:proofErr w:type="spellStart"/>
            <w:r w:rsidRPr="00D05F4A">
              <w:rPr>
                <w:rFonts w:eastAsia="Times New Roman"/>
                <w:color w:val="000000"/>
                <w:sz w:val="13"/>
                <w:szCs w:val="13"/>
              </w:rPr>
              <w:t>landing</w:t>
            </w:r>
            <w:proofErr w:type="spellEnd"/>
            <w:r w:rsidRPr="00D05F4A">
              <w:rPr>
                <w:rFonts w:eastAsia="Times New Roman"/>
                <w:color w:val="000000"/>
                <w:sz w:val="13"/>
                <w:szCs w:val="13"/>
              </w:rPr>
              <w:t xml:space="preserve"> page, repositorio digital y piezas promocionales bilingües</w:t>
            </w:r>
          </w:p>
        </w:tc>
        <w:tc>
          <w:tcPr>
            <w:tcW w:w="0" w:type="auto"/>
            <w:tcBorders>
              <w:top w:val="nil"/>
              <w:left w:val="nil"/>
              <w:bottom w:val="single" w:sz="8" w:space="0" w:color="auto"/>
              <w:right w:val="single" w:sz="8" w:space="0" w:color="auto"/>
            </w:tcBorders>
            <w:shd w:val="clear" w:color="000000" w:fill="FFFFFF"/>
            <w:vAlign w:val="center"/>
            <w:hideMark/>
          </w:tcPr>
          <w:p w14:paraId="4D32FFA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Se desarrollará una </w:t>
            </w:r>
            <w:proofErr w:type="spellStart"/>
            <w:r w:rsidRPr="00D05F4A">
              <w:rPr>
                <w:rFonts w:eastAsia="Times New Roman"/>
                <w:color w:val="000000"/>
                <w:sz w:val="13"/>
                <w:szCs w:val="13"/>
              </w:rPr>
              <w:t>landing</w:t>
            </w:r>
            <w:proofErr w:type="spellEnd"/>
            <w:r w:rsidRPr="00D05F4A">
              <w:rPr>
                <w:rFonts w:eastAsia="Times New Roman"/>
                <w:color w:val="000000"/>
                <w:sz w:val="13"/>
                <w:szCs w:val="13"/>
              </w:rPr>
              <w:t xml:space="preserve"> page de la Agenda con repositorio digital asociado para visibilizar el rol energético, oportunidades del portafolio y mecanismos de contacto, orientado a audiencias nacionales e internacionales. Se producirán piezas promocionales bilingües (español–inglés) adaptadas a verticales, incorporando mensajes consistentes con la propuesta de valor y el paquete de inversión. Se integrarán mecanismos de captura de leads (formularios, contacto directo, descargas) conectados al CRM/pipeline para trazabilidad completa. Adicionalmente, se incorporará pauta segmentada cuando sea pertinente para amplificar alcance en mercados objetivo, midiendo desempeño con indicadores de captación y conversión.</w:t>
            </w:r>
          </w:p>
        </w:tc>
        <w:tc>
          <w:tcPr>
            <w:tcW w:w="0" w:type="auto"/>
            <w:tcBorders>
              <w:top w:val="nil"/>
              <w:left w:val="nil"/>
              <w:bottom w:val="single" w:sz="8" w:space="0" w:color="auto"/>
              <w:right w:val="single" w:sz="8" w:space="0" w:color="auto"/>
            </w:tcBorders>
            <w:vAlign w:val="center"/>
            <w:hideMark/>
          </w:tcPr>
          <w:p w14:paraId="38866623"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17091699"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52B4A2CE"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76D68DA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0" w:type="auto"/>
            <w:tcBorders>
              <w:top w:val="nil"/>
              <w:left w:val="nil"/>
              <w:bottom w:val="single" w:sz="8" w:space="0" w:color="auto"/>
              <w:right w:val="single" w:sz="8" w:space="0" w:color="auto"/>
            </w:tcBorders>
            <w:noWrap/>
            <w:vAlign w:val="center"/>
            <w:hideMark/>
          </w:tcPr>
          <w:p w14:paraId="20053130" w14:textId="77777777" w:rsidR="005E67EB" w:rsidRPr="00D05F4A" w:rsidRDefault="005E67EB" w:rsidP="00DB7BBA">
            <w:pPr>
              <w:spacing w:after="0" w:line="240" w:lineRule="auto"/>
              <w:rPr>
                <w:rFonts w:eastAsia="Times New Roman"/>
                <w:color w:val="000000"/>
                <w:sz w:val="13"/>
                <w:szCs w:val="13"/>
              </w:rPr>
            </w:pPr>
          </w:p>
        </w:tc>
      </w:tr>
      <w:tr w:rsidR="005E67EB" w:rsidRPr="00D05F4A" w14:paraId="24D7AFA4"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6E96234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3.3</w:t>
            </w:r>
          </w:p>
        </w:tc>
        <w:tc>
          <w:tcPr>
            <w:tcW w:w="0" w:type="auto"/>
            <w:tcBorders>
              <w:top w:val="nil"/>
              <w:left w:val="nil"/>
              <w:bottom w:val="single" w:sz="8" w:space="0" w:color="auto"/>
              <w:right w:val="single" w:sz="8" w:space="0" w:color="auto"/>
            </w:tcBorders>
            <w:shd w:val="clear" w:color="000000" w:fill="EFEFEF"/>
            <w:noWrap/>
            <w:vAlign w:val="center"/>
            <w:hideMark/>
          </w:tcPr>
          <w:p w14:paraId="10D3B51C"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3E0A9617"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0179F07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lastRenderedPageBreak/>
              <w:t>ACTIVIDAD 3.4: Implementación del sistema de gestión de oportunidades de inversión (pipeline / CRM)</w:t>
            </w:r>
          </w:p>
        </w:tc>
      </w:tr>
      <w:tr w:rsidR="005E67EB" w:rsidRPr="00D05F4A" w14:paraId="32D5EC9D"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372CC52D"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4B9525F7"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33DE4DA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72568A4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7D0310D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79A91217"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6627F969"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2698112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180C567C" w14:textId="77777777" w:rsidTr="00DB7BBA">
        <w:trPr>
          <w:trHeight w:val="1492"/>
        </w:trPr>
        <w:tc>
          <w:tcPr>
            <w:tcW w:w="0" w:type="auto"/>
            <w:tcBorders>
              <w:top w:val="nil"/>
              <w:left w:val="single" w:sz="8" w:space="0" w:color="auto"/>
              <w:bottom w:val="single" w:sz="8" w:space="0" w:color="auto"/>
              <w:right w:val="single" w:sz="8" w:space="0" w:color="auto"/>
            </w:tcBorders>
            <w:vAlign w:val="center"/>
            <w:hideMark/>
          </w:tcPr>
          <w:p w14:paraId="53E323C4"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3.4.1</w:t>
            </w:r>
          </w:p>
        </w:tc>
        <w:tc>
          <w:tcPr>
            <w:tcW w:w="0" w:type="auto"/>
            <w:tcBorders>
              <w:top w:val="nil"/>
              <w:left w:val="nil"/>
              <w:bottom w:val="single" w:sz="8" w:space="0" w:color="auto"/>
              <w:right w:val="single" w:sz="8" w:space="0" w:color="auto"/>
            </w:tcBorders>
            <w:vAlign w:val="center"/>
            <w:hideMark/>
          </w:tcPr>
          <w:p w14:paraId="4BE0032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Definir el embudo de gestión (lead → oportunidad → </w:t>
            </w:r>
            <w:proofErr w:type="spellStart"/>
            <w:r w:rsidRPr="00D05F4A">
              <w:rPr>
                <w:rFonts w:eastAsia="Times New Roman"/>
                <w:color w:val="000000"/>
                <w:sz w:val="13"/>
                <w:szCs w:val="13"/>
              </w:rPr>
              <w:t>due</w:t>
            </w:r>
            <w:proofErr w:type="spellEnd"/>
            <w:r w:rsidRPr="00D05F4A">
              <w:rPr>
                <w:rFonts w:eastAsia="Times New Roman"/>
                <w:color w:val="000000"/>
                <w:sz w:val="13"/>
                <w:szCs w:val="13"/>
              </w:rPr>
              <w:t xml:space="preserve"> </w:t>
            </w:r>
            <w:proofErr w:type="spellStart"/>
            <w:r w:rsidRPr="00D05F4A">
              <w:rPr>
                <w:rFonts w:eastAsia="Times New Roman"/>
                <w:color w:val="000000"/>
                <w:sz w:val="13"/>
                <w:szCs w:val="13"/>
              </w:rPr>
              <w:t>diligence</w:t>
            </w:r>
            <w:proofErr w:type="spellEnd"/>
            <w:r w:rsidRPr="00D05F4A">
              <w:rPr>
                <w:rFonts w:eastAsia="Times New Roman"/>
                <w:color w:val="000000"/>
                <w:sz w:val="13"/>
                <w:szCs w:val="13"/>
              </w:rPr>
              <w:t xml:space="preserve"> → negociación → cierre)</w:t>
            </w:r>
          </w:p>
        </w:tc>
        <w:tc>
          <w:tcPr>
            <w:tcW w:w="0" w:type="auto"/>
            <w:tcBorders>
              <w:top w:val="nil"/>
              <w:left w:val="nil"/>
              <w:bottom w:val="single" w:sz="8" w:space="0" w:color="auto"/>
              <w:right w:val="single" w:sz="8" w:space="0" w:color="auto"/>
            </w:tcBorders>
            <w:vAlign w:val="center"/>
            <w:hideMark/>
          </w:tcPr>
          <w:p w14:paraId="6BE5A6B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Se definirá el embudo de gestión con etapas claras, criterios de entrada y salida, y evidencias mínimas por fase, de manera que el pipeline refleje la madurez real de cada oportunidad. Se establecerán reglas para calificación de leads (</w:t>
            </w:r>
            <w:proofErr w:type="spellStart"/>
            <w:r w:rsidRPr="00D05F4A">
              <w:rPr>
                <w:rFonts w:eastAsia="Times New Roman"/>
                <w:color w:val="000000"/>
                <w:sz w:val="13"/>
                <w:szCs w:val="13"/>
              </w:rPr>
              <w:t>scoring</w:t>
            </w:r>
            <w:proofErr w:type="spellEnd"/>
            <w:r w:rsidRPr="00D05F4A">
              <w:rPr>
                <w:rFonts w:eastAsia="Times New Roman"/>
                <w:color w:val="000000"/>
                <w:sz w:val="13"/>
                <w:szCs w:val="13"/>
              </w:rPr>
              <w:t xml:space="preserve">), segmentación por vertical, priorización por probabilidad de conversión e impacto esperado, y definición de “próximo paso” obligatorio para mantener movimiento del embudo. Se determinará qué información se solicita y qué documentos se comparten en cada etapa, conectando el proceso con el data </w:t>
            </w:r>
            <w:proofErr w:type="spellStart"/>
            <w:r w:rsidRPr="00D05F4A">
              <w:rPr>
                <w:rFonts w:eastAsia="Times New Roman"/>
                <w:color w:val="000000"/>
                <w:sz w:val="13"/>
                <w:szCs w:val="13"/>
              </w:rPr>
              <w:t>room</w:t>
            </w:r>
            <w:proofErr w:type="spellEnd"/>
            <w:r w:rsidRPr="00D05F4A">
              <w:rPr>
                <w:rFonts w:eastAsia="Times New Roman"/>
                <w:color w:val="000000"/>
                <w:sz w:val="13"/>
                <w:szCs w:val="13"/>
              </w:rPr>
              <w:t xml:space="preserve"> y la guía del inversionista. Este diseño permite gestionar inversión como proceso, con control y métricas comparables, y no como lista de contactos.</w:t>
            </w:r>
          </w:p>
        </w:tc>
        <w:tc>
          <w:tcPr>
            <w:tcW w:w="0" w:type="auto"/>
            <w:tcBorders>
              <w:top w:val="nil"/>
              <w:left w:val="nil"/>
              <w:bottom w:val="single" w:sz="8" w:space="0" w:color="auto"/>
              <w:right w:val="single" w:sz="8" w:space="0" w:color="auto"/>
            </w:tcBorders>
            <w:vAlign w:val="center"/>
            <w:hideMark/>
          </w:tcPr>
          <w:p w14:paraId="64389EA1"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6B2A6785"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54D23BC5"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204BE87C"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0" w:type="auto"/>
            <w:tcBorders>
              <w:top w:val="nil"/>
              <w:left w:val="nil"/>
              <w:bottom w:val="single" w:sz="8" w:space="0" w:color="auto"/>
              <w:right w:val="single" w:sz="8" w:space="0" w:color="auto"/>
            </w:tcBorders>
            <w:noWrap/>
            <w:vAlign w:val="center"/>
            <w:hideMark/>
          </w:tcPr>
          <w:p w14:paraId="1B229073"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3F5C6ACB" w14:textId="77777777" w:rsidTr="00DB7BBA">
        <w:trPr>
          <w:trHeight w:val="1492"/>
        </w:trPr>
        <w:tc>
          <w:tcPr>
            <w:tcW w:w="0" w:type="auto"/>
            <w:tcBorders>
              <w:top w:val="nil"/>
              <w:left w:val="single" w:sz="8" w:space="0" w:color="auto"/>
              <w:bottom w:val="single" w:sz="8" w:space="0" w:color="auto"/>
              <w:right w:val="single" w:sz="8" w:space="0" w:color="auto"/>
            </w:tcBorders>
            <w:vAlign w:val="center"/>
            <w:hideMark/>
          </w:tcPr>
          <w:p w14:paraId="2C5E8A3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3.4.2</w:t>
            </w:r>
          </w:p>
        </w:tc>
        <w:tc>
          <w:tcPr>
            <w:tcW w:w="0" w:type="auto"/>
            <w:tcBorders>
              <w:top w:val="nil"/>
              <w:left w:val="nil"/>
              <w:bottom w:val="single" w:sz="8" w:space="0" w:color="auto"/>
              <w:right w:val="single" w:sz="8" w:space="0" w:color="auto"/>
            </w:tcBorders>
            <w:vAlign w:val="center"/>
            <w:hideMark/>
          </w:tcPr>
          <w:p w14:paraId="41E86E04"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de Internacionalización</w:t>
            </w:r>
          </w:p>
        </w:tc>
        <w:tc>
          <w:tcPr>
            <w:tcW w:w="0" w:type="auto"/>
            <w:tcBorders>
              <w:top w:val="nil"/>
              <w:left w:val="nil"/>
              <w:bottom w:val="single" w:sz="8" w:space="0" w:color="auto"/>
              <w:right w:val="single" w:sz="8" w:space="0" w:color="auto"/>
            </w:tcBorders>
            <w:vAlign w:val="center"/>
            <w:hideMark/>
          </w:tcPr>
          <w:p w14:paraId="0CD15EBB"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en negocios internacionales, economía, administración, ingeniería o áreas afines, con experiencia en procesos de internacionalización, atracción de inversión y relacionamiento con actores nacionales e internacionales. Será responsable de apoyar la estrategia de internacionalización del proyecto, identificar mercados y aliados estratégicos, acompañar procesos de promoción territorial, gestionar relacionamiento con inversionistas y organismos de cooperación, y aportar insumos técnicos que contribuyan al posicionamiento de Santa Marta como destino para el desarrollo de la industria energética offshore y su cadena de valor. Ejecutará sus actividades por 5 meses durante el proyecto.</w:t>
            </w:r>
          </w:p>
        </w:tc>
        <w:tc>
          <w:tcPr>
            <w:tcW w:w="0" w:type="auto"/>
            <w:tcBorders>
              <w:top w:val="nil"/>
              <w:left w:val="nil"/>
              <w:bottom w:val="single" w:sz="8" w:space="0" w:color="auto"/>
              <w:right w:val="single" w:sz="8" w:space="0" w:color="auto"/>
            </w:tcBorders>
            <w:vAlign w:val="center"/>
            <w:hideMark/>
          </w:tcPr>
          <w:p w14:paraId="572BE627"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4A29452D"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2C4FB57A"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08F1D2E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noWrap/>
            <w:vAlign w:val="center"/>
            <w:hideMark/>
          </w:tcPr>
          <w:p w14:paraId="4034A9A1"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384CA744"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5779B76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3.4</w:t>
            </w:r>
          </w:p>
        </w:tc>
        <w:tc>
          <w:tcPr>
            <w:tcW w:w="0" w:type="auto"/>
            <w:tcBorders>
              <w:top w:val="nil"/>
              <w:left w:val="nil"/>
              <w:bottom w:val="single" w:sz="8" w:space="0" w:color="auto"/>
              <w:right w:val="single" w:sz="8" w:space="0" w:color="auto"/>
            </w:tcBorders>
            <w:shd w:val="clear" w:color="000000" w:fill="EFEFEF"/>
            <w:noWrap/>
            <w:vAlign w:val="center"/>
            <w:hideMark/>
          </w:tcPr>
          <w:p w14:paraId="737DB318"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401AC254"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6FB9A5CE"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3.5: Participación estratégica en 4 eventos de promoción (2 nacionales y 2 internacionales)</w:t>
            </w:r>
          </w:p>
        </w:tc>
      </w:tr>
      <w:tr w:rsidR="005E67EB" w:rsidRPr="00D05F4A" w14:paraId="79D6FEC2"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5D9DD8F8"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0B9994BD"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1DEBC6B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7932385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16A81263"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48D61D08"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5924972B"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6BC82F99"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39FD1214" w14:textId="77777777" w:rsidTr="00DB7BBA">
        <w:trPr>
          <w:trHeight w:val="506"/>
        </w:trPr>
        <w:tc>
          <w:tcPr>
            <w:tcW w:w="0" w:type="auto"/>
            <w:vMerge w:val="restart"/>
            <w:tcBorders>
              <w:top w:val="nil"/>
              <w:left w:val="single" w:sz="8" w:space="0" w:color="auto"/>
              <w:bottom w:val="single" w:sz="8" w:space="0" w:color="000000"/>
              <w:right w:val="single" w:sz="8" w:space="0" w:color="auto"/>
            </w:tcBorders>
            <w:vAlign w:val="center"/>
            <w:hideMark/>
          </w:tcPr>
          <w:p w14:paraId="47F8542F"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3.5.1</w:t>
            </w:r>
          </w:p>
        </w:tc>
        <w:tc>
          <w:tcPr>
            <w:tcW w:w="0" w:type="auto"/>
            <w:vMerge w:val="restart"/>
            <w:tcBorders>
              <w:top w:val="nil"/>
              <w:left w:val="single" w:sz="8" w:space="0" w:color="auto"/>
              <w:bottom w:val="single" w:sz="8" w:space="0" w:color="000000"/>
              <w:right w:val="single" w:sz="8" w:space="0" w:color="auto"/>
            </w:tcBorders>
            <w:vAlign w:val="center"/>
            <w:hideMark/>
          </w:tcPr>
          <w:p w14:paraId="1CC264B8"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Servicio de logística y transporte para la participación en ferias internacionales de inversión (bolsa agotable)</w:t>
            </w:r>
          </w:p>
        </w:tc>
        <w:tc>
          <w:tcPr>
            <w:tcW w:w="0" w:type="auto"/>
            <w:tcBorders>
              <w:top w:val="nil"/>
              <w:left w:val="nil"/>
              <w:bottom w:val="single" w:sz="8" w:space="0" w:color="auto"/>
              <w:right w:val="single" w:sz="8" w:space="0" w:color="auto"/>
            </w:tcBorders>
            <w:vAlign w:val="center"/>
            <w:hideMark/>
          </w:tcPr>
          <w:p w14:paraId="689EB1EB"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Pago de Derechos de Participación en dos (2) Ferias Internacionales: Se cubrirán los costos de inscripción y derechos de participación para un mínimo de 3 ferias internacionales en las que Santa Marta participará con máximo 3 personas.</w:t>
            </w:r>
          </w:p>
        </w:tc>
        <w:tc>
          <w:tcPr>
            <w:tcW w:w="0" w:type="auto"/>
            <w:vMerge w:val="restart"/>
            <w:tcBorders>
              <w:top w:val="nil"/>
              <w:left w:val="single" w:sz="8" w:space="0" w:color="auto"/>
              <w:bottom w:val="single" w:sz="8" w:space="0" w:color="000000"/>
              <w:right w:val="single" w:sz="8" w:space="0" w:color="auto"/>
            </w:tcBorders>
            <w:vAlign w:val="center"/>
            <w:hideMark/>
          </w:tcPr>
          <w:p w14:paraId="2B1C84B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01C8CD2"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859" w:type="dxa"/>
            <w:vMerge w:val="restart"/>
            <w:tcBorders>
              <w:top w:val="nil"/>
              <w:left w:val="single" w:sz="8" w:space="0" w:color="auto"/>
              <w:bottom w:val="single" w:sz="8" w:space="0" w:color="000000"/>
              <w:right w:val="single" w:sz="8" w:space="0" w:color="auto"/>
            </w:tcBorders>
            <w:noWrap/>
            <w:vAlign w:val="center"/>
            <w:hideMark/>
          </w:tcPr>
          <w:p w14:paraId="6252FF12" w14:textId="77777777" w:rsidR="005E67EB" w:rsidRPr="00D05F4A" w:rsidRDefault="005E67EB" w:rsidP="00DB7BBA">
            <w:pPr>
              <w:spacing w:after="0" w:line="240" w:lineRule="auto"/>
              <w:jc w:val="center"/>
              <w:rPr>
                <w:rFonts w:eastAsia="Times New Roman"/>
                <w:color w:val="000000"/>
                <w:sz w:val="13"/>
                <w:szCs w:val="13"/>
              </w:rPr>
            </w:pPr>
          </w:p>
        </w:tc>
        <w:tc>
          <w:tcPr>
            <w:tcW w:w="662" w:type="dxa"/>
            <w:vMerge w:val="restart"/>
            <w:tcBorders>
              <w:top w:val="nil"/>
              <w:left w:val="single" w:sz="8" w:space="0" w:color="auto"/>
              <w:bottom w:val="single" w:sz="8" w:space="0" w:color="000000"/>
              <w:right w:val="single" w:sz="8" w:space="0" w:color="auto"/>
            </w:tcBorders>
            <w:noWrap/>
            <w:vAlign w:val="center"/>
            <w:hideMark/>
          </w:tcPr>
          <w:p w14:paraId="25104AE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7D156CD5"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2AF7E3FD" w14:textId="77777777" w:rsidTr="00DB7BBA">
        <w:trPr>
          <w:trHeight w:val="1000"/>
        </w:trPr>
        <w:tc>
          <w:tcPr>
            <w:tcW w:w="0" w:type="auto"/>
            <w:vMerge/>
            <w:tcBorders>
              <w:top w:val="nil"/>
              <w:left w:val="single" w:sz="8" w:space="0" w:color="auto"/>
              <w:bottom w:val="single" w:sz="8" w:space="0" w:color="000000"/>
              <w:right w:val="single" w:sz="8" w:space="0" w:color="auto"/>
            </w:tcBorders>
            <w:vAlign w:val="center"/>
            <w:hideMark/>
          </w:tcPr>
          <w:p w14:paraId="3CAB55EB"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40BEB3F"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284C7F5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Tiquetes Aéreos para Personal de Apoyo: Se cubrirán los gastos de los tiquetes aéreos en clase económica para el personal de apoyo, incluyendo los costos de ida y vuelta entre Santa Marta y el destino de cada feria (Santa Marta - Bogotá, Bogotá - destino de la feria, destino de la feria - Bogotá, Bogotá - Santa Marta). Esta subactividad incluye el equipaje permitido por persona, conforme a las políticas de la aerolínea.</w:t>
            </w:r>
          </w:p>
        </w:tc>
        <w:tc>
          <w:tcPr>
            <w:tcW w:w="0" w:type="auto"/>
            <w:vMerge/>
            <w:tcBorders>
              <w:top w:val="nil"/>
              <w:left w:val="single" w:sz="8" w:space="0" w:color="auto"/>
              <w:bottom w:val="single" w:sz="8" w:space="0" w:color="000000"/>
              <w:right w:val="single" w:sz="8" w:space="0" w:color="auto"/>
            </w:tcBorders>
            <w:vAlign w:val="center"/>
            <w:hideMark/>
          </w:tcPr>
          <w:p w14:paraId="19BD1F71"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076C03CD"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55DA8977"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3BD88AB3"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7D4DC127" w14:textId="77777777" w:rsidR="005E67EB" w:rsidRPr="00D05F4A" w:rsidRDefault="005E67EB" w:rsidP="00DB7BBA">
            <w:pPr>
              <w:spacing w:after="0" w:line="240" w:lineRule="auto"/>
              <w:rPr>
                <w:rFonts w:eastAsia="Times New Roman"/>
                <w:color w:val="000000"/>
                <w:sz w:val="13"/>
                <w:szCs w:val="13"/>
              </w:rPr>
            </w:pPr>
          </w:p>
        </w:tc>
      </w:tr>
      <w:tr w:rsidR="005E67EB" w:rsidRPr="00D05F4A" w14:paraId="08045FD9" w14:textId="77777777" w:rsidTr="00DB7BBA">
        <w:trPr>
          <w:trHeight w:val="671"/>
        </w:trPr>
        <w:tc>
          <w:tcPr>
            <w:tcW w:w="0" w:type="auto"/>
            <w:vMerge/>
            <w:tcBorders>
              <w:top w:val="nil"/>
              <w:left w:val="single" w:sz="8" w:space="0" w:color="auto"/>
              <w:bottom w:val="single" w:sz="8" w:space="0" w:color="000000"/>
              <w:right w:val="single" w:sz="8" w:space="0" w:color="auto"/>
            </w:tcBorders>
            <w:vAlign w:val="center"/>
            <w:hideMark/>
          </w:tcPr>
          <w:p w14:paraId="02F22D44"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FBF40B4"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0721F95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Asistencia de Viajes Internacionales: Se contratará una póliza de seguro de asistencia en viajes internacionales que ofrezca cobertura total en caso de emergencias médicas, pérdida de equipaje, cancelaciones de vuelo y otros imprevistos para máximo 3 personas.</w:t>
            </w:r>
          </w:p>
        </w:tc>
        <w:tc>
          <w:tcPr>
            <w:tcW w:w="0" w:type="auto"/>
            <w:vMerge/>
            <w:tcBorders>
              <w:top w:val="nil"/>
              <w:left w:val="single" w:sz="8" w:space="0" w:color="auto"/>
              <w:bottom w:val="single" w:sz="8" w:space="0" w:color="000000"/>
              <w:right w:val="single" w:sz="8" w:space="0" w:color="auto"/>
            </w:tcBorders>
            <w:vAlign w:val="center"/>
            <w:hideMark/>
          </w:tcPr>
          <w:p w14:paraId="3D6613DB"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0148F54"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7FCB4A06"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34E3D772"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23CCEF48" w14:textId="77777777" w:rsidR="005E67EB" w:rsidRPr="00D05F4A" w:rsidRDefault="005E67EB" w:rsidP="00DB7BBA">
            <w:pPr>
              <w:spacing w:after="0" w:line="240" w:lineRule="auto"/>
              <w:rPr>
                <w:rFonts w:eastAsia="Times New Roman"/>
                <w:color w:val="000000"/>
                <w:sz w:val="13"/>
                <w:szCs w:val="13"/>
              </w:rPr>
            </w:pPr>
          </w:p>
        </w:tc>
      </w:tr>
      <w:tr w:rsidR="005E67EB" w:rsidRPr="00D05F4A" w14:paraId="19DB084A" w14:textId="77777777" w:rsidTr="00DB7BBA">
        <w:trPr>
          <w:trHeight w:val="1000"/>
        </w:trPr>
        <w:tc>
          <w:tcPr>
            <w:tcW w:w="0" w:type="auto"/>
            <w:vMerge/>
            <w:tcBorders>
              <w:top w:val="nil"/>
              <w:left w:val="single" w:sz="8" w:space="0" w:color="auto"/>
              <w:bottom w:val="single" w:sz="8" w:space="0" w:color="000000"/>
              <w:right w:val="single" w:sz="8" w:space="0" w:color="auto"/>
            </w:tcBorders>
            <w:vAlign w:val="center"/>
            <w:hideMark/>
          </w:tcPr>
          <w:p w14:paraId="2ADDAE46"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5736DE0"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084AF7E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Alojamiento para máximo 3 personas en hoteles cercanos al recinto del evento, asegurando que sean establecimientos con una calificación mínima de 8/10 en motores de búsqueda. El alojamiento será en habitaciones individuales y se incluirá el desayuno. La estadía será de entre 3 y 5 noches, dependiendo de la duración de cada feria internacional, asegurando el confort y la accesibilidad para el equipo durante el evento.</w:t>
            </w:r>
          </w:p>
        </w:tc>
        <w:tc>
          <w:tcPr>
            <w:tcW w:w="0" w:type="auto"/>
            <w:vMerge/>
            <w:tcBorders>
              <w:top w:val="nil"/>
              <w:left w:val="single" w:sz="8" w:space="0" w:color="auto"/>
              <w:bottom w:val="single" w:sz="8" w:space="0" w:color="000000"/>
              <w:right w:val="single" w:sz="8" w:space="0" w:color="auto"/>
            </w:tcBorders>
            <w:vAlign w:val="center"/>
            <w:hideMark/>
          </w:tcPr>
          <w:p w14:paraId="3F1618DD"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4DC4A0FD"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0B60E76D"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1F9AE816"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4C66345" w14:textId="77777777" w:rsidR="005E67EB" w:rsidRPr="00D05F4A" w:rsidRDefault="005E67EB" w:rsidP="00DB7BBA">
            <w:pPr>
              <w:spacing w:after="0" w:line="240" w:lineRule="auto"/>
              <w:rPr>
                <w:rFonts w:eastAsia="Times New Roman"/>
                <w:color w:val="000000"/>
                <w:sz w:val="13"/>
                <w:szCs w:val="13"/>
              </w:rPr>
            </w:pPr>
          </w:p>
        </w:tc>
      </w:tr>
      <w:tr w:rsidR="005E67EB" w:rsidRPr="00D05F4A" w14:paraId="27C6698F" w14:textId="77777777" w:rsidTr="00DB7BBA">
        <w:trPr>
          <w:trHeight w:val="506"/>
        </w:trPr>
        <w:tc>
          <w:tcPr>
            <w:tcW w:w="0" w:type="auto"/>
            <w:vMerge/>
            <w:tcBorders>
              <w:top w:val="nil"/>
              <w:left w:val="single" w:sz="8" w:space="0" w:color="auto"/>
              <w:bottom w:val="single" w:sz="8" w:space="0" w:color="000000"/>
              <w:right w:val="single" w:sz="8" w:space="0" w:color="auto"/>
            </w:tcBorders>
            <w:vAlign w:val="center"/>
            <w:hideMark/>
          </w:tcPr>
          <w:p w14:paraId="02D9B788"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75629C2B"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630E0D91"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Alimentación para máximo 3 personas, El desayuno de los días no cubiertos por el hotel, almuerzos y cenas, garantizando una alimentación balanceada y saludable bebida en cada comida.</w:t>
            </w:r>
          </w:p>
        </w:tc>
        <w:tc>
          <w:tcPr>
            <w:tcW w:w="0" w:type="auto"/>
            <w:vMerge/>
            <w:tcBorders>
              <w:top w:val="nil"/>
              <w:left w:val="single" w:sz="8" w:space="0" w:color="auto"/>
              <w:bottom w:val="single" w:sz="8" w:space="0" w:color="000000"/>
              <w:right w:val="single" w:sz="8" w:space="0" w:color="auto"/>
            </w:tcBorders>
            <w:vAlign w:val="center"/>
            <w:hideMark/>
          </w:tcPr>
          <w:p w14:paraId="2D2B4C78"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7121546F"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26B1130C"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72347C69"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6295CC2B" w14:textId="77777777" w:rsidR="005E67EB" w:rsidRPr="00D05F4A" w:rsidRDefault="005E67EB" w:rsidP="00DB7BBA">
            <w:pPr>
              <w:spacing w:after="0" w:line="240" w:lineRule="auto"/>
              <w:rPr>
                <w:rFonts w:eastAsia="Times New Roman"/>
                <w:color w:val="000000"/>
                <w:sz w:val="13"/>
                <w:szCs w:val="13"/>
              </w:rPr>
            </w:pPr>
          </w:p>
        </w:tc>
      </w:tr>
      <w:tr w:rsidR="005E67EB" w:rsidRPr="00D05F4A" w14:paraId="76AB82E1" w14:textId="77777777" w:rsidTr="00DB7BBA">
        <w:trPr>
          <w:trHeight w:val="835"/>
        </w:trPr>
        <w:tc>
          <w:tcPr>
            <w:tcW w:w="0" w:type="auto"/>
            <w:vMerge/>
            <w:tcBorders>
              <w:top w:val="nil"/>
              <w:left w:val="single" w:sz="8" w:space="0" w:color="auto"/>
              <w:bottom w:val="single" w:sz="8" w:space="0" w:color="000000"/>
              <w:right w:val="single" w:sz="8" w:space="0" w:color="auto"/>
            </w:tcBorders>
            <w:vAlign w:val="center"/>
            <w:hideMark/>
          </w:tcPr>
          <w:p w14:paraId="01CC67EC"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9BB7B77"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487C369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 xml:space="preserve">Desplazamientos Internos en el Destino de la Feria: Se cubrirán los gastos de transporte público o taxis para los traslados de máximo </w:t>
            </w:r>
            <w:proofErr w:type="gramStart"/>
            <w:r w:rsidRPr="00D05F4A">
              <w:rPr>
                <w:rFonts w:eastAsia="Times New Roman"/>
                <w:color w:val="000000"/>
                <w:sz w:val="13"/>
                <w:szCs w:val="13"/>
              </w:rPr>
              <w:t>e</w:t>
            </w:r>
            <w:proofErr w:type="gramEnd"/>
            <w:r w:rsidRPr="00D05F4A">
              <w:rPr>
                <w:rFonts w:eastAsia="Times New Roman"/>
                <w:color w:val="000000"/>
                <w:sz w:val="13"/>
                <w:szCs w:val="13"/>
              </w:rPr>
              <w:t xml:space="preserve"> personas entre el hotel, el recinto de la feria y otros destinos necesarios para su participación en las actividades del evento. Este presupuesto incluirá todos los traslados dentro del destino de la feria.</w:t>
            </w:r>
          </w:p>
        </w:tc>
        <w:tc>
          <w:tcPr>
            <w:tcW w:w="0" w:type="auto"/>
            <w:vMerge/>
            <w:tcBorders>
              <w:top w:val="nil"/>
              <w:left w:val="single" w:sz="8" w:space="0" w:color="auto"/>
              <w:bottom w:val="single" w:sz="8" w:space="0" w:color="000000"/>
              <w:right w:val="single" w:sz="8" w:space="0" w:color="auto"/>
            </w:tcBorders>
            <w:vAlign w:val="center"/>
            <w:hideMark/>
          </w:tcPr>
          <w:p w14:paraId="6046E55E"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ADA2EED"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3F470387"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225F2C2F"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82ECE42" w14:textId="77777777" w:rsidR="005E67EB" w:rsidRPr="00D05F4A" w:rsidRDefault="005E67EB" w:rsidP="00DB7BBA">
            <w:pPr>
              <w:spacing w:after="0" w:line="240" w:lineRule="auto"/>
              <w:rPr>
                <w:rFonts w:eastAsia="Times New Roman"/>
                <w:color w:val="000000"/>
                <w:sz w:val="13"/>
                <w:szCs w:val="13"/>
              </w:rPr>
            </w:pPr>
          </w:p>
        </w:tc>
      </w:tr>
      <w:tr w:rsidR="005E67EB" w:rsidRPr="00D05F4A" w14:paraId="1DFAEDA8" w14:textId="77777777" w:rsidTr="00DB7BBA">
        <w:trPr>
          <w:trHeight w:val="671"/>
        </w:trPr>
        <w:tc>
          <w:tcPr>
            <w:tcW w:w="0" w:type="auto"/>
            <w:vMerge w:val="restart"/>
            <w:tcBorders>
              <w:top w:val="nil"/>
              <w:left w:val="single" w:sz="8" w:space="0" w:color="auto"/>
              <w:bottom w:val="single" w:sz="8" w:space="0" w:color="000000"/>
              <w:right w:val="single" w:sz="8" w:space="0" w:color="auto"/>
            </w:tcBorders>
            <w:vAlign w:val="center"/>
            <w:hideMark/>
          </w:tcPr>
          <w:p w14:paraId="2CC8E7D4"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3.5.2</w:t>
            </w:r>
          </w:p>
        </w:tc>
        <w:tc>
          <w:tcPr>
            <w:tcW w:w="0" w:type="auto"/>
            <w:vMerge w:val="restart"/>
            <w:tcBorders>
              <w:top w:val="nil"/>
              <w:left w:val="single" w:sz="8" w:space="0" w:color="auto"/>
              <w:bottom w:val="single" w:sz="8" w:space="0" w:color="000000"/>
              <w:right w:val="single" w:sz="8" w:space="0" w:color="auto"/>
            </w:tcBorders>
            <w:vAlign w:val="center"/>
            <w:hideMark/>
          </w:tcPr>
          <w:p w14:paraId="32726DAF"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Servicio de logística y transporte para la participación en ferias nacionales de inversión (bolsa agotable)</w:t>
            </w:r>
          </w:p>
        </w:tc>
        <w:tc>
          <w:tcPr>
            <w:tcW w:w="0" w:type="auto"/>
            <w:tcBorders>
              <w:top w:val="nil"/>
              <w:left w:val="nil"/>
              <w:bottom w:val="single" w:sz="8" w:space="0" w:color="auto"/>
              <w:right w:val="single" w:sz="8" w:space="0" w:color="auto"/>
            </w:tcBorders>
            <w:vAlign w:val="center"/>
            <w:hideMark/>
          </w:tcPr>
          <w:p w14:paraId="6AE698DB"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Pago de Derechos de Participación en Ferias Nacionales que cubrirá el costo de inscripción y participación en las ferias nacionales seleccionadas, La inversión en este concepto permitirá asegurar la presencia oficial de Santa Marta en espacios clave de inversión.</w:t>
            </w:r>
          </w:p>
        </w:tc>
        <w:tc>
          <w:tcPr>
            <w:tcW w:w="0" w:type="auto"/>
            <w:vMerge w:val="restart"/>
            <w:tcBorders>
              <w:top w:val="nil"/>
              <w:left w:val="single" w:sz="8" w:space="0" w:color="auto"/>
              <w:bottom w:val="single" w:sz="8" w:space="0" w:color="000000"/>
              <w:right w:val="single" w:sz="8" w:space="0" w:color="auto"/>
            </w:tcBorders>
            <w:vAlign w:val="center"/>
            <w:hideMark/>
          </w:tcPr>
          <w:p w14:paraId="2B82F1EF"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598838B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2</w:t>
            </w:r>
          </w:p>
        </w:tc>
        <w:tc>
          <w:tcPr>
            <w:tcW w:w="859" w:type="dxa"/>
            <w:vMerge w:val="restart"/>
            <w:tcBorders>
              <w:top w:val="nil"/>
              <w:left w:val="single" w:sz="8" w:space="0" w:color="auto"/>
              <w:bottom w:val="single" w:sz="8" w:space="0" w:color="000000"/>
              <w:right w:val="single" w:sz="8" w:space="0" w:color="auto"/>
            </w:tcBorders>
            <w:noWrap/>
            <w:vAlign w:val="center"/>
            <w:hideMark/>
          </w:tcPr>
          <w:p w14:paraId="59F4849E" w14:textId="77777777" w:rsidR="005E67EB" w:rsidRPr="00D05F4A" w:rsidRDefault="005E67EB" w:rsidP="00DB7BBA">
            <w:pPr>
              <w:spacing w:after="0" w:line="240" w:lineRule="auto"/>
              <w:jc w:val="center"/>
              <w:rPr>
                <w:rFonts w:eastAsia="Times New Roman"/>
                <w:color w:val="000000"/>
                <w:sz w:val="13"/>
                <w:szCs w:val="13"/>
              </w:rPr>
            </w:pPr>
          </w:p>
        </w:tc>
        <w:tc>
          <w:tcPr>
            <w:tcW w:w="662" w:type="dxa"/>
            <w:vMerge w:val="restart"/>
            <w:tcBorders>
              <w:top w:val="nil"/>
              <w:left w:val="single" w:sz="8" w:space="0" w:color="auto"/>
              <w:bottom w:val="single" w:sz="8" w:space="0" w:color="000000"/>
              <w:right w:val="single" w:sz="8" w:space="0" w:color="auto"/>
            </w:tcBorders>
            <w:noWrap/>
            <w:vAlign w:val="center"/>
            <w:hideMark/>
          </w:tcPr>
          <w:p w14:paraId="14908DD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vMerge w:val="restart"/>
            <w:tcBorders>
              <w:top w:val="nil"/>
              <w:left w:val="single" w:sz="8" w:space="0" w:color="auto"/>
              <w:bottom w:val="single" w:sz="8" w:space="0" w:color="000000"/>
              <w:right w:val="single" w:sz="8" w:space="0" w:color="auto"/>
            </w:tcBorders>
            <w:noWrap/>
            <w:vAlign w:val="center"/>
            <w:hideMark/>
          </w:tcPr>
          <w:p w14:paraId="089D84C3"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1EDD20DA" w14:textId="77777777" w:rsidTr="00DB7BBA">
        <w:trPr>
          <w:trHeight w:val="1000"/>
        </w:trPr>
        <w:tc>
          <w:tcPr>
            <w:tcW w:w="0" w:type="auto"/>
            <w:vMerge/>
            <w:tcBorders>
              <w:top w:val="nil"/>
              <w:left w:val="single" w:sz="8" w:space="0" w:color="auto"/>
              <w:bottom w:val="single" w:sz="8" w:space="0" w:color="000000"/>
              <w:right w:val="single" w:sz="8" w:space="0" w:color="auto"/>
            </w:tcBorders>
            <w:vAlign w:val="center"/>
            <w:hideMark/>
          </w:tcPr>
          <w:p w14:paraId="3E7BFE14"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5CF1A03"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6525A946"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Tiquetes Aéreos: Se destinarán recursos para los tiquetes aéreos y desplazamientos terrestres internos para llegar a destino de mínimo 2 personas en clase económica para el personal de apoyo en la promoción de inversión para la participación en 3 espacios de promoción e inversión nacional. El trayecto incluirá Santa Marta - destino nacional y regreso, asegurando la disponibilidad de equipaje incluido.</w:t>
            </w:r>
          </w:p>
        </w:tc>
        <w:tc>
          <w:tcPr>
            <w:tcW w:w="0" w:type="auto"/>
            <w:vMerge/>
            <w:tcBorders>
              <w:top w:val="nil"/>
              <w:left w:val="single" w:sz="8" w:space="0" w:color="auto"/>
              <w:bottom w:val="single" w:sz="8" w:space="0" w:color="000000"/>
              <w:right w:val="single" w:sz="8" w:space="0" w:color="auto"/>
            </w:tcBorders>
            <w:vAlign w:val="center"/>
            <w:hideMark/>
          </w:tcPr>
          <w:p w14:paraId="70DBC781"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A81A157"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1A175BA7"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0D23CF5E"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1D6F761" w14:textId="77777777" w:rsidR="005E67EB" w:rsidRPr="00D05F4A" w:rsidRDefault="005E67EB" w:rsidP="00DB7BBA">
            <w:pPr>
              <w:spacing w:after="0" w:line="240" w:lineRule="auto"/>
              <w:rPr>
                <w:rFonts w:eastAsia="Times New Roman"/>
                <w:color w:val="000000"/>
                <w:sz w:val="13"/>
                <w:szCs w:val="13"/>
              </w:rPr>
            </w:pPr>
          </w:p>
        </w:tc>
      </w:tr>
      <w:tr w:rsidR="005E67EB" w:rsidRPr="00D05F4A" w14:paraId="09DEC23D" w14:textId="77777777" w:rsidTr="00DB7BBA">
        <w:trPr>
          <w:trHeight w:val="506"/>
        </w:trPr>
        <w:tc>
          <w:tcPr>
            <w:tcW w:w="0" w:type="auto"/>
            <w:vMerge/>
            <w:tcBorders>
              <w:top w:val="nil"/>
              <w:left w:val="single" w:sz="8" w:space="0" w:color="auto"/>
              <w:bottom w:val="single" w:sz="8" w:space="0" w:color="000000"/>
              <w:right w:val="single" w:sz="8" w:space="0" w:color="auto"/>
            </w:tcBorders>
            <w:vAlign w:val="center"/>
            <w:hideMark/>
          </w:tcPr>
          <w:p w14:paraId="24421228"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5BF3C89"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6482097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Asistencia de Viajes: Cada participante contará con una póliza de seguro de asistencia en viajes nacionales con cobertura de todo riesgo para cada uno de los eventos asistidos</w:t>
            </w:r>
          </w:p>
        </w:tc>
        <w:tc>
          <w:tcPr>
            <w:tcW w:w="0" w:type="auto"/>
            <w:vMerge/>
            <w:tcBorders>
              <w:top w:val="nil"/>
              <w:left w:val="single" w:sz="8" w:space="0" w:color="auto"/>
              <w:bottom w:val="single" w:sz="8" w:space="0" w:color="000000"/>
              <w:right w:val="single" w:sz="8" w:space="0" w:color="auto"/>
            </w:tcBorders>
            <w:vAlign w:val="center"/>
            <w:hideMark/>
          </w:tcPr>
          <w:p w14:paraId="6BB309AD"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4E87290F"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323EFDFD"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35A2AF13"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D232F6A" w14:textId="77777777" w:rsidR="005E67EB" w:rsidRPr="00D05F4A" w:rsidRDefault="005E67EB" w:rsidP="00DB7BBA">
            <w:pPr>
              <w:spacing w:after="0" w:line="240" w:lineRule="auto"/>
              <w:rPr>
                <w:rFonts w:eastAsia="Times New Roman"/>
                <w:color w:val="000000"/>
                <w:sz w:val="13"/>
                <w:szCs w:val="13"/>
              </w:rPr>
            </w:pPr>
          </w:p>
        </w:tc>
      </w:tr>
      <w:tr w:rsidR="005E67EB" w:rsidRPr="00D05F4A" w14:paraId="0458A3F1" w14:textId="77777777" w:rsidTr="00DB7BBA">
        <w:trPr>
          <w:trHeight w:val="835"/>
        </w:trPr>
        <w:tc>
          <w:tcPr>
            <w:tcW w:w="0" w:type="auto"/>
            <w:vMerge/>
            <w:tcBorders>
              <w:top w:val="nil"/>
              <w:left w:val="single" w:sz="8" w:space="0" w:color="auto"/>
              <w:bottom w:val="single" w:sz="8" w:space="0" w:color="000000"/>
              <w:right w:val="single" w:sz="8" w:space="0" w:color="auto"/>
            </w:tcBorders>
            <w:vAlign w:val="center"/>
            <w:hideMark/>
          </w:tcPr>
          <w:p w14:paraId="41CE51A3"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231EABE4"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6AB4FCD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Alojamiento: Se cubrirán los gastos de hospedaje para mínimo 2 personas en hoteles con una calificación mínima de 8/10 en motores de búsqueda, ubicados cerca del recinto del evento. El alojamiento será en habitación sencilla individual con desayuno incluido, con una duración mínima de 2 noches y máxima de 4 noches, según la extensión de cada feria.</w:t>
            </w:r>
          </w:p>
        </w:tc>
        <w:tc>
          <w:tcPr>
            <w:tcW w:w="0" w:type="auto"/>
            <w:vMerge/>
            <w:tcBorders>
              <w:top w:val="nil"/>
              <w:left w:val="single" w:sz="8" w:space="0" w:color="auto"/>
              <w:bottom w:val="single" w:sz="8" w:space="0" w:color="000000"/>
              <w:right w:val="single" w:sz="8" w:space="0" w:color="auto"/>
            </w:tcBorders>
            <w:vAlign w:val="center"/>
            <w:hideMark/>
          </w:tcPr>
          <w:p w14:paraId="3C552BC9"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2A7D89C6"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2D1B3CE9"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08FC712B"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578E2CC7" w14:textId="77777777" w:rsidR="005E67EB" w:rsidRPr="00D05F4A" w:rsidRDefault="005E67EB" w:rsidP="00DB7BBA">
            <w:pPr>
              <w:spacing w:after="0" w:line="240" w:lineRule="auto"/>
              <w:rPr>
                <w:rFonts w:eastAsia="Times New Roman"/>
                <w:color w:val="000000"/>
                <w:sz w:val="13"/>
                <w:szCs w:val="13"/>
              </w:rPr>
            </w:pPr>
          </w:p>
        </w:tc>
      </w:tr>
      <w:tr w:rsidR="005E67EB" w:rsidRPr="00D05F4A" w14:paraId="7E1DE2A7" w14:textId="77777777" w:rsidTr="00DB7BBA">
        <w:trPr>
          <w:trHeight w:val="671"/>
        </w:trPr>
        <w:tc>
          <w:tcPr>
            <w:tcW w:w="0" w:type="auto"/>
            <w:vMerge/>
            <w:tcBorders>
              <w:top w:val="nil"/>
              <w:left w:val="single" w:sz="8" w:space="0" w:color="auto"/>
              <w:bottom w:val="single" w:sz="8" w:space="0" w:color="000000"/>
              <w:right w:val="single" w:sz="8" w:space="0" w:color="auto"/>
            </w:tcBorders>
            <w:vAlign w:val="center"/>
            <w:hideMark/>
          </w:tcPr>
          <w:p w14:paraId="5795F944"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2F887FB1"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229788E9"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Alimentación: cubrimiento de alimentación de representantes participantes en las ferias y/o encuentros nacionales con desayunos de día 1, almuerzos y cenas durante la estancia en las ferias. Las comidas incluirán un menú balanceado con proteína, carbohidratos, cereales, verduras y bebidas.</w:t>
            </w:r>
          </w:p>
        </w:tc>
        <w:tc>
          <w:tcPr>
            <w:tcW w:w="0" w:type="auto"/>
            <w:vMerge/>
            <w:tcBorders>
              <w:top w:val="nil"/>
              <w:left w:val="single" w:sz="8" w:space="0" w:color="auto"/>
              <w:bottom w:val="single" w:sz="8" w:space="0" w:color="000000"/>
              <w:right w:val="single" w:sz="8" w:space="0" w:color="auto"/>
            </w:tcBorders>
            <w:vAlign w:val="center"/>
            <w:hideMark/>
          </w:tcPr>
          <w:p w14:paraId="2A6C23CB"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11A5F1B9"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26370AEB"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28AAA281"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528ED21" w14:textId="77777777" w:rsidR="005E67EB" w:rsidRPr="00D05F4A" w:rsidRDefault="005E67EB" w:rsidP="00DB7BBA">
            <w:pPr>
              <w:spacing w:after="0" w:line="240" w:lineRule="auto"/>
              <w:rPr>
                <w:rFonts w:eastAsia="Times New Roman"/>
                <w:color w:val="000000"/>
                <w:sz w:val="13"/>
                <w:szCs w:val="13"/>
              </w:rPr>
            </w:pPr>
          </w:p>
        </w:tc>
      </w:tr>
      <w:tr w:rsidR="005E67EB" w:rsidRPr="00D05F4A" w14:paraId="65DA7353" w14:textId="77777777" w:rsidTr="00DB7BBA">
        <w:trPr>
          <w:trHeight w:val="506"/>
        </w:trPr>
        <w:tc>
          <w:tcPr>
            <w:tcW w:w="0" w:type="auto"/>
            <w:vMerge/>
            <w:tcBorders>
              <w:top w:val="nil"/>
              <w:left w:val="single" w:sz="8" w:space="0" w:color="auto"/>
              <w:bottom w:val="single" w:sz="8" w:space="0" w:color="000000"/>
              <w:right w:val="single" w:sz="8" w:space="0" w:color="auto"/>
            </w:tcBorders>
            <w:vAlign w:val="center"/>
            <w:hideMark/>
          </w:tcPr>
          <w:p w14:paraId="5B8D0E70"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4D6FBC92" w14:textId="77777777" w:rsidR="005E67EB" w:rsidRPr="00D05F4A" w:rsidRDefault="005E67EB" w:rsidP="00DB7BBA">
            <w:pPr>
              <w:spacing w:after="0" w:line="240" w:lineRule="auto"/>
              <w:rPr>
                <w:rFonts w:eastAsia="Times New Roman"/>
                <w:color w:val="000000"/>
                <w:sz w:val="13"/>
                <w:szCs w:val="13"/>
              </w:rPr>
            </w:pPr>
          </w:p>
        </w:tc>
        <w:tc>
          <w:tcPr>
            <w:tcW w:w="0" w:type="auto"/>
            <w:tcBorders>
              <w:top w:val="nil"/>
              <w:left w:val="nil"/>
              <w:bottom w:val="single" w:sz="8" w:space="0" w:color="auto"/>
              <w:right w:val="single" w:sz="8" w:space="0" w:color="auto"/>
            </w:tcBorders>
            <w:vAlign w:val="center"/>
            <w:hideMark/>
          </w:tcPr>
          <w:p w14:paraId="52A21DBB"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Desplazamientos Internos: Incluye el transporte terrestre dentro del destino nacional, con opciones como taxis o transporte público, para garantizar el traslado eficiente del personal desde el hotel hasta el recinto ferial y viceversa.</w:t>
            </w:r>
          </w:p>
        </w:tc>
        <w:tc>
          <w:tcPr>
            <w:tcW w:w="0" w:type="auto"/>
            <w:vMerge/>
            <w:tcBorders>
              <w:top w:val="nil"/>
              <w:left w:val="single" w:sz="8" w:space="0" w:color="auto"/>
              <w:bottom w:val="single" w:sz="8" w:space="0" w:color="000000"/>
              <w:right w:val="single" w:sz="8" w:space="0" w:color="auto"/>
            </w:tcBorders>
            <w:vAlign w:val="center"/>
            <w:hideMark/>
          </w:tcPr>
          <w:p w14:paraId="305B6FF8"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3EE33930" w14:textId="77777777" w:rsidR="005E67EB" w:rsidRPr="00D05F4A" w:rsidRDefault="005E67EB" w:rsidP="00DB7BBA">
            <w:pPr>
              <w:spacing w:after="0" w:line="240" w:lineRule="auto"/>
              <w:rPr>
                <w:rFonts w:eastAsia="Times New Roman"/>
                <w:color w:val="000000"/>
                <w:sz w:val="13"/>
                <w:szCs w:val="13"/>
              </w:rPr>
            </w:pPr>
          </w:p>
        </w:tc>
        <w:tc>
          <w:tcPr>
            <w:tcW w:w="859" w:type="dxa"/>
            <w:vMerge/>
            <w:tcBorders>
              <w:top w:val="nil"/>
              <w:left w:val="single" w:sz="8" w:space="0" w:color="auto"/>
              <w:bottom w:val="single" w:sz="8" w:space="0" w:color="000000"/>
              <w:right w:val="single" w:sz="8" w:space="0" w:color="auto"/>
            </w:tcBorders>
            <w:vAlign w:val="center"/>
            <w:hideMark/>
          </w:tcPr>
          <w:p w14:paraId="2E15B3D7" w14:textId="77777777" w:rsidR="005E67EB" w:rsidRPr="00D05F4A" w:rsidRDefault="005E67EB" w:rsidP="00DB7BBA">
            <w:pPr>
              <w:spacing w:after="0" w:line="240" w:lineRule="auto"/>
              <w:rPr>
                <w:rFonts w:eastAsia="Times New Roman"/>
                <w:color w:val="000000"/>
                <w:sz w:val="13"/>
                <w:szCs w:val="13"/>
              </w:rPr>
            </w:pPr>
          </w:p>
        </w:tc>
        <w:tc>
          <w:tcPr>
            <w:tcW w:w="662" w:type="dxa"/>
            <w:vMerge/>
            <w:tcBorders>
              <w:top w:val="nil"/>
              <w:left w:val="single" w:sz="8" w:space="0" w:color="auto"/>
              <w:bottom w:val="single" w:sz="8" w:space="0" w:color="000000"/>
              <w:right w:val="single" w:sz="8" w:space="0" w:color="auto"/>
            </w:tcBorders>
            <w:vAlign w:val="center"/>
            <w:hideMark/>
          </w:tcPr>
          <w:p w14:paraId="11A10AF0" w14:textId="77777777" w:rsidR="005E67EB" w:rsidRPr="00D05F4A" w:rsidRDefault="005E67EB" w:rsidP="00DB7BBA">
            <w:pPr>
              <w:spacing w:after="0" w:line="240" w:lineRule="auto"/>
              <w:rPr>
                <w:rFonts w:eastAsia="Times New Roman"/>
                <w:color w:val="000000"/>
                <w:sz w:val="13"/>
                <w:szCs w:val="13"/>
              </w:rPr>
            </w:pPr>
          </w:p>
        </w:tc>
        <w:tc>
          <w:tcPr>
            <w:tcW w:w="0" w:type="auto"/>
            <w:vMerge/>
            <w:tcBorders>
              <w:top w:val="nil"/>
              <w:left w:val="single" w:sz="8" w:space="0" w:color="auto"/>
              <w:bottom w:val="single" w:sz="8" w:space="0" w:color="000000"/>
              <w:right w:val="single" w:sz="8" w:space="0" w:color="auto"/>
            </w:tcBorders>
            <w:vAlign w:val="center"/>
            <w:hideMark/>
          </w:tcPr>
          <w:p w14:paraId="6A2D45C5" w14:textId="77777777" w:rsidR="005E67EB" w:rsidRPr="00D05F4A" w:rsidRDefault="005E67EB" w:rsidP="00DB7BBA">
            <w:pPr>
              <w:spacing w:after="0" w:line="240" w:lineRule="auto"/>
              <w:rPr>
                <w:rFonts w:eastAsia="Times New Roman"/>
                <w:color w:val="000000"/>
                <w:sz w:val="13"/>
                <w:szCs w:val="13"/>
              </w:rPr>
            </w:pPr>
          </w:p>
        </w:tc>
      </w:tr>
      <w:tr w:rsidR="005E67EB" w:rsidRPr="00D05F4A" w14:paraId="019AE58B"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0887326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3.5</w:t>
            </w:r>
          </w:p>
        </w:tc>
        <w:tc>
          <w:tcPr>
            <w:tcW w:w="0" w:type="auto"/>
            <w:tcBorders>
              <w:top w:val="nil"/>
              <w:left w:val="nil"/>
              <w:bottom w:val="single" w:sz="8" w:space="0" w:color="auto"/>
              <w:right w:val="single" w:sz="8" w:space="0" w:color="auto"/>
            </w:tcBorders>
            <w:shd w:val="clear" w:color="000000" w:fill="EFEFEF"/>
            <w:noWrap/>
            <w:vAlign w:val="center"/>
            <w:hideMark/>
          </w:tcPr>
          <w:p w14:paraId="45A5B844"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696696A3"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2E64BAFF"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3.6: Gestión de visitas de inspección y atención a inversionistas</w:t>
            </w:r>
          </w:p>
        </w:tc>
      </w:tr>
      <w:tr w:rsidR="005E67EB" w:rsidRPr="00D05F4A" w14:paraId="2AF8BA82"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1FADD3EE"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6AA8120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4CC9463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6098002D"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424BA7C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6B70203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479083D2"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0E1DDECB"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48A91575" w14:textId="77777777" w:rsidTr="00DB7BBA">
        <w:trPr>
          <w:trHeight w:val="1328"/>
        </w:trPr>
        <w:tc>
          <w:tcPr>
            <w:tcW w:w="0" w:type="auto"/>
            <w:tcBorders>
              <w:top w:val="nil"/>
              <w:left w:val="single" w:sz="8" w:space="0" w:color="auto"/>
              <w:bottom w:val="single" w:sz="8" w:space="0" w:color="auto"/>
              <w:right w:val="single" w:sz="8" w:space="0" w:color="auto"/>
            </w:tcBorders>
            <w:vAlign w:val="center"/>
            <w:hideMark/>
          </w:tcPr>
          <w:p w14:paraId="2317DFE0"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3.6.1</w:t>
            </w:r>
          </w:p>
        </w:tc>
        <w:tc>
          <w:tcPr>
            <w:tcW w:w="0" w:type="auto"/>
            <w:tcBorders>
              <w:top w:val="nil"/>
              <w:left w:val="nil"/>
              <w:bottom w:val="single" w:sz="8" w:space="0" w:color="auto"/>
              <w:right w:val="single" w:sz="8" w:space="0" w:color="auto"/>
            </w:tcBorders>
            <w:vAlign w:val="center"/>
            <w:hideMark/>
          </w:tcPr>
          <w:p w14:paraId="65F4554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Coordinar logística y acompañamiento institucional</w:t>
            </w:r>
          </w:p>
        </w:tc>
        <w:tc>
          <w:tcPr>
            <w:tcW w:w="0" w:type="auto"/>
            <w:tcBorders>
              <w:top w:val="nil"/>
              <w:left w:val="nil"/>
              <w:bottom w:val="single" w:sz="8" w:space="0" w:color="auto"/>
              <w:right w:val="single" w:sz="8" w:space="0" w:color="auto"/>
            </w:tcBorders>
            <w:vAlign w:val="center"/>
            <w:hideMark/>
          </w:tcPr>
          <w:p w14:paraId="6977D0B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Se coordinará la logística completa de las visitas (agenda, traslados, permisos, reuniones) y el acompañamiento institucional necesario para facilitar diálogos efectivos y resolver inquietudes de manera oportuna. Se asignarán responsables por tramo de la agenda y se prepararán mensajes clave alineados con la propuesta de valor, evitando inconsistencias entre actores. Se garantizará registro de asistencia, actas/minutas y evidencias de cada interacción, integrándolas al CRM y a los reportes del comité de inversión. Esta coordinación reduce fricción, transmite capacidad institucional y fortalece la percepción de confiabilidad del territorio.</w:t>
            </w:r>
          </w:p>
        </w:tc>
        <w:tc>
          <w:tcPr>
            <w:tcW w:w="0" w:type="auto"/>
            <w:tcBorders>
              <w:top w:val="nil"/>
              <w:left w:val="nil"/>
              <w:bottom w:val="single" w:sz="8" w:space="0" w:color="auto"/>
              <w:right w:val="single" w:sz="8" w:space="0" w:color="auto"/>
            </w:tcBorders>
            <w:vAlign w:val="center"/>
            <w:hideMark/>
          </w:tcPr>
          <w:p w14:paraId="348EF378"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Global</w:t>
            </w:r>
          </w:p>
        </w:tc>
        <w:tc>
          <w:tcPr>
            <w:tcW w:w="0" w:type="auto"/>
            <w:tcBorders>
              <w:top w:val="nil"/>
              <w:left w:val="nil"/>
              <w:bottom w:val="single" w:sz="8" w:space="0" w:color="auto"/>
              <w:right w:val="single" w:sz="8" w:space="0" w:color="auto"/>
            </w:tcBorders>
            <w:noWrap/>
            <w:vAlign w:val="center"/>
            <w:hideMark/>
          </w:tcPr>
          <w:p w14:paraId="6B1F072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206244BA"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74F35A3A"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noWrap/>
            <w:vAlign w:val="center"/>
            <w:hideMark/>
          </w:tcPr>
          <w:p w14:paraId="36D947ED"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0DC51392"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19A8F27D"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3.6</w:t>
            </w:r>
          </w:p>
        </w:tc>
        <w:tc>
          <w:tcPr>
            <w:tcW w:w="0" w:type="auto"/>
            <w:tcBorders>
              <w:top w:val="nil"/>
              <w:left w:val="nil"/>
              <w:bottom w:val="single" w:sz="8" w:space="0" w:color="auto"/>
              <w:right w:val="single" w:sz="8" w:space="0" w:color="auto"/>
            </w:tcBorders>
            <w:shd w:val="clear" w:color="000000" w:fill="EFEFEF"/>
            <w:noWrap/>
            <w:vAlign w:val="center"/>
            <w:hideMark/>
          </w:tcPr>
          <w:p w14:paraId="016B55BE"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174B3306"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46BDC6"/>
            <w:vAlign w:val="center"/>
            <w:hideMark/>
          </w:tcPr>
          <w:p w14:paraId="5C8C8EB2"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ACTIVIDAD 3.7: Seguimiento al pipeline y comité de inversión de la Agenda</w:t>
            </w:r>
          </w:p>
        </w:tc>
      </w:tr>
      <w:tr w:rsidR="005E67EB" w:rsidRPr="00D05F4A" w14:paraId="4BF6C0FF" w14:textId="77777777" w:rsidTr="00DB7BBA">
        <w:trPr>
          <w:trHeight w:val="286"/>
        </w:trPr>
        <w:tc>
          <w:tcPr>
            <w:tcW w:w="0" w:type="auto"/>
            <w:tcBorders>
              <w:top w:val="nil"/>
              <w:left w:val="single" w:sz="8" w:space="0" w:color="auto"/>
              <w:bottom w:val="single" w:sz="8" w:space="0" w:color="auto"/>
              <w:right w:val="single" w:sz="8" w:space="0" w:color="auto"/>
            </w:tcBorders>
            <w:vAlign w:val="center"/>
            <w:hideMark/>
          </w:tcPr>
          <w:p w14:paraId="3AF11BA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Ítem</w:t>
            </w:r>
          </w:p>
        </w:tc>
        <w:tc>
          <w:tcPr>
            <w:tcW w:w="0" w:type="auto"/>
            <w:tcBorders>
              <w:top w:val="nil"/>
              <w:left w:val="nil"/>
              <w:bottom w:val="single" w:sz="8" w:space="0" w:color="auto"/>
              <w:right w:val="single" w:sz="8" w:space="0" w:color="auto"/>
            </w:tcBorders>
            <w:noWrap/>
            <w:vAlign w:val="center"/>
            <w:hideMark/>
          </w:tcPr>
          <w:p w14:paraId="4EBE075E"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 actividades</w:t>
            </w:r>
          </w:p>
        </w:tc>
        <w:tc>
          <w:tcPr>
            <w:tcW w:w="0" w:type="auto"/>
            <w:tcBorders>
              <w:top w:val="nil"/>
              <w:left w:val="nil"/>
              <w:bottom w:val="single" w:sz="8" w:space="0" w:color="auto"/>
              <w:right w:val="single" w:sz="8" w:space="0" w:color="auto"/>
            </w:tcBorders>
            <w:noWrap/>
            <w:vAlign w:val="center"/>
            <w:hideMark/>
          </w:tcPr>
          <w:p w14:paraId="6B2D821A"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Detalle</w:t>
            </w:r>
          </w:p>
        </w:tc>
        <w:tc>
          <w:tcPr>
            <w:tcW w:w="0" w:type="auto"/>
            <w:tcBorders>
              <w:top w:val="nil"/>
              <w:left w:val="nil"/>
              <w:bottom w:val="single" w:sz="8" w:space="0" w:color="auto"/>
              <w:right w:val="single" w:sz="8" w:space="0" w:color="auto"/>
            </w:tcBorders>
            <w:vAlign w:val="center"/>
            <w:hideMark/>
          </w:tcPr>
          <w:p w14:paraId="4BE5214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Unidad de medida</w:t>
            </w:r>
          </w:p>
        </w:tc>
        <w:tc>
          <w:tcPr>
            <w:tcW w:w="0" w:type="auto"/>
            <w:tcBorders>
              <w:top w:val="nil"/>
              <w:left w:val="nil"/>
              <w:bottom w:val="single" w:sz="8" w:space="0" w:color="auto"/>
              <w:right w:val="single" w:sz="8" w:space="0" w:color="auto"/>
            </w:tcBorders>
            <w:noWrap/>
            <w:vAlign w:val="center"/>
            <w:hideMark/>
          </w:tcPr>
          <w:p w14:paraId="303B3235"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Cantidad</w:t>
            </w:r>
          </w:p>
        </w:tc>
        <w:tc>
          <w:tcPr>
            <w:tcW w:w="859" w:type="dxa"/>
            <w:tcBorders>
              <w:top w:val="nil"/>
              <w:left w:val="nil"/>
              <w:bottom w:val="single" w:sz="8" w:space="0" w:color="auto"/>
              <w:right w:val="single" w:sz="8" w:space="0" w:color="auto"/>
            </w:tcBorders>
            <w:noWrap/>
            <w:vAlign w:val="center"/>
            <w:hideMark/>
          </w:tcPr>
          <w:p w14:paraId="6A01EDAC"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unidad</w:t>
            </w:r>
          </w:p>
        </w:tc>
        <w:tc>
          <w:tcPr>
            <w:tcW w:w="662" w:type="dxa"/>
            <w:tcBorders>
              <w:top w:val="nil"/>
              <w:left w:val="nil"/>
              <w:bottom w:val="single" w:sz="8" w:space="0" w:color="auto"/>
              <w:right w:val="single" w:sz="8" w:space="0" w:color="auto"/>
            </w:tcBorders>
            <w:noWrap/>
            <w:vAlign w:val="center"/>
            <w:hideMark/>
          </w:tcPr>
          <w:p w14:paraId="6707D831"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Tiempo</w:t>
            </w:r>
          </w:p>
        </w:tc>
        <w:tc>
          <w:tcPr>
            <w:tcW w:w="0" w:type="auto"/>
            <w:tcBorders>
              <w:top w:val="nil"/>
              <w:left w:val="nil"/>
              <w:bottom w:val="single" w:sz="8" w:space="0" w:color="auto"/>
              <w:right w:val="single" w:sz="8" w:space="0" w:color="auto"/>
            </w:tcBorders>
            <w:noWrap/>
            <w:vAlign w:val="center"/>
            <w:hideMark/>
          </w:tcPr>
          <w:p w14:paraId="32FDC18B"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VALOR ALCALDÍA</w:t>
            </w:r>
          </w:p>
        </w:tc>
      </w:tr>
      <w:tr w:rsidR="005E67EB" w:rsidRPr="00D05F4A" w14:paraId="63B42B4D" w14:textId="77777777" w:rsidTr="00DB7BBA">
        <w:trPr>
          <w:trHeight w:val="2150"/>
        </w:trPr>
        <w:tc>
          <w:tcPr>
            <w:tcW w:w="0" w:type="auto"/>
            <w:tcBorders>
              <w:top w:val="nil"/>
              <w:left w:val="single" w:sz="8" w:space="0" w:color="auto"/>
              <w:bottom w:val="single" w:sz="8" w:space="0" w:color="auto"/>
              <w:right w:val="single" w:sz="8" w:space="0" w:color="auto"/>
            </w:tcBorders>
            <w:vAlign w:val="center"/>
            <w:hideMark/>
          </w:tcPr>
          <w:p w14:paraId="5456C5C3"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lastRenderedPageBreak/>
              <w:t>3.7.1</w:t>
            </w:r>
          </w:p>
        </w:tc>
        <w:tc>
          <w:tcPr>
            <w:tcW w:w="0" w:type="auto"/>
            <w:tcBorders>
              <w:top w:val="nil"/>
              <w:left w:val="nil"/>
              <w:bottom w:val="single" w:sz="8" w:space="0" w:color="auto"/>
              <w:right w:val="single" w:sz="8" w:space="0" w:color="auto"/>
            </w:tcBorders>
            <w:vAlign w:val="center"/>
            <w:hideMark/>
          </w:tcPr>
          <w:p w14:paraId="1FED9C7D"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Profesional Senior de Internacionalización y Atracción de Inversión</w:t>
            </w:r>
          </w:p>
        </w:tc>
        <w:tc>
          <w:tcPr>
            <w:tcW w:w="0" w:type="auto"/>
            <w:tcBorders>
              <w:top w:val="nil"/>
              <w:left w:val="nil"/>
              <w:bottom w:val="single" w:sz="8" w:space="0" w:color="auto"/>
              <w:right w:val="single" w:sz="8" w:space="0" w:color="auto"/>
            </w:tcBorders>
            <w:shd w:val="clear" w:color="000000" w:fill="FFFFFF"/>
            <w:vAlign w:val="center"/>
            <w:hideMark/>
          </w:tcPr>
          <w:p w14:paraId="7999284B"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Internacionalista con formación de maestría en logística internacional y gestión de cadenas de suministro o a fines, y experiencia mínima de 5 años en negocios internacionales y articulación de mercados globales. Durante los últimos cinco (5) meses del proyecto, apoyará de manera estratégica la implementación del Objetivo Específico 3, contribuyendo al posicionamiento de la Agenda Integral de Energía, la promoción territorial y la gestión de oportunidades de inversión. Será responsable de apoyar la identificación de mercados internacionales prioritarios, el relacionamiento con inversionistas y aliados estratégicos, el acompañamiento a misiones, eventos y agendas comerciales, así como la consolidación del pipeline de inversión, aportando su experiencia en logística internacional, cadenas de suministro y cooperación internacional para fortalecer la competitividad del Distrito de Santa Marta. Ejecutará sus actividades por 5 meses durante el proyecto.</w:t>
            </w:r>
          </w:p>
        </w:tc>
        <w:tc>
          <w:tcPr>
            <w:tcW w:w="0" w:type="auto"/>
            <w:tcBorders>
              <w:top w:val="nil"/>
              <w:left w:val="nil"/>
              <w:bottom w:val="single" w:sz="8" w:space="0" w:color="auto"/>
              <w:right w:val="single" w:sz="8" w:space="0" w:color="auto"/>
            </w:tcBorders>
            <w:vAlign w:val="center"/>
            <w:hideMark/>
          </w:tcPr>
          <w:p w14:paraId="03ABD0FE" w14:textId="77777777" w:rsidR="005E67EB" w:rsidRPr="00D05F4A" w:rsidRDefault="005E67EB" w:rsidP="00DB7BBA">
            <w:pPr>
              <w:spacing w:after="0" w:line="240" w:lineRule="auto"/>
              <w:jc w:val="center"/>
              <w:rPr>
                <w:rFonts w:eastAsia="Times New Roman"/>
                <w:color w:val="000000"/>
                <w:sz w:val="13"/>
                <w:szCs w:val="13"/>
              </w:rPr>
            </w:pPr>
            <w:proofErr w:type="spellStart"/>
            <w:r w:rsidRPr="00D05F4A">
              <w:rPr>
                <w:rFonts w:eastAsia="Times New Roman"/>
                <w:color w:val="000000"/>
                <w:sz w:val="13"/>
                <w:szCs w:val="13"/>
              </w:rPr>
              <w:t>und</w:t>
            </w:r>
            <w:proofErr w:type="spellEnd"/>
          </w:p>
        </w:tc>
        <w:tc>
          <w:tcPr>
            <w:tcW w:w="0" w:type="auto"/>
            <w:tcBorders>
              <w:top w:val="nil"/>
              <w:left w:val="nil"/>
              <w:bottom w:val="single" w:sz="8" w:space="0" w:color="auto"/>
              <w:right w:val="single" w:sz="8" w:space="0" w:color="auto"/>
            </w:tcBorders>
            <w:noWrap/>
            <w:vAlign w:val="center"/>
            <w:hideMark/>
          </w:tcPr>
          <w:p w14:paraId="717D4A9B"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1</w:t>
            </w:r>
          </w:p>
        </w:tc>
        <w:tc>
          <w:tcPr>
            <w:tcW w:w="859" w:type="dxa"/>
            <w:tcBorders>
              <w:top w:val="nil"/>
              <w:left w:val="nil"/>
              <w:bottom w:val="single" w:sz="8" w:space="0" w:color="auto"/>
              <w:right w:val="single" w:sz="8" w:space="0" w:color="auto"/>
            </w:tcBorders>
            <w:noWrap/>
            <w:vAlign w:val="center"/>
            <w:hideMark/>
          </w:tcPr>
          <w:p w14:paraId="6EA40E32" w14:textId="77777777" w:rsidR="005E67EB" w:rsidRPr="00D05F4A" w:rsidRDefault="005E67EB" w:rsidP="00DB7BBA">
            <w:pPr>
              <w:spacing w:after="0" w:line="240" w:lineRule="auto"/>
              <w:jc w:val="center"/>
              <w:rPr>
                <w:rFonts w:eastAsia="Times New Roman"/>
                <w:color w:val="000000"/>
                <w:sz w:val="13"/>
                <w:szCs w:val="13"/>
              </w:rPr>
            </w:pPr>
          </w:p>
        </w:tc>
        <w:tc>
          <w:tcPr>
            <w:tcW w:w="662" w:type="dxa"/>
            <w:tcBorders>
              <w:top w:val="nil"/>
              <w:left w:val="nil"/>
              <w:bottom w:val="single" w:sz="8" w:space="0" w:color="auto"/>
              <w:right w:val="single" w:sz="8" w:space="0" w:color="auto"/>
            </w:tcBorders>
            <w:noWrap/>
            <w:vAlign w:val="center"/>
            <w:hideMark/>
          </w:tcPr>
          <w:p w14:paraId="26C197F7" w14:textId="77777777" w:rsidR="005E67EB" w:rsidRPr="00D05F4A" w:rsidRDefault="005E67EB" w:rsidP="00DB7BBA">
            <w:pPr>
              <w:spacing w:after="0" w:line="240" w:lineRule="auto"/>
              <w:jc w:val="center"/>
              <w:rPr>
                <w:rFonts w:eastAsia="Times New Roman"/>
                <w:color w:val="000000"/>
                <w:sz w:val="13"/>
                <w:szCs w:val="13"/>
              </w:rPr>
            </w:pPr>
            <w:r w:rsidRPr="00D05F4A">
              <w:rPr>
                <w:rFonts w:eastAsia="Times New Roman"/>
                <w:color w:val="000000"/>
                <w:sz w:val="13"/>
                <w:szCs w:val="13"/>
              </w:rPr>
              <w:t>4</w:t>
            </w:r>
          </w:p>
        </w:tc>
        <w:tc>
          <w:tcPr>
            <w:tcW w:w="0" w:type="auto"/>
            <w:tcBorders>
              <w:top w:val="nil"/>
              <w:left w:val="nil"/>
              <w:bottom w:val="single" w:sz="8" w:space="0" w:color="auto"/>
              <w:right w:val="single" w:sz="8" w:space="0" w:color="auto"/>
            </w:tcBorders>
            <w:noWrap/>
            <w:vAlign w:val="center"/>
            <w:hideMark/>
          </w:tcPr>
          <w:p w14:paraId="6BEFA5AF"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13C58EB1"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11EE0536" w14:textId="77777777" w:rsidR="005E67EB" w:rsidRPr="00D05F4A" w:rsidRDefault="005E67EB" w:rsidP="00DB7BBA">
            <w:pPr>
              <w:spacing w:after="0" w:line="240" w:lineRule="auto"/>
              <w:jc w:val="center"/>
              <w:rPr>
                <w:rFonts w:eastAsia="Times New Roman"/>
                <w:b/>
                <w:bCs/>
                <w:color w:val="000000"/>
                <w:sz w:val="13"/>
                <w:szCs w:val="13"/>
              </w:rPr>
            </w:pPr>
            <w:r w:rsidRPr="00D05F4A">
              <w:rPr>
                <w:rFonts w:eastAsia="Times New Roman"/>
                <w:b/>
                <w:bCs/>
                <w:color w:val="000000"/>
                <w:sz w:val="13"/>
                <w:szCs w:val="13"/>
              </w:rPr>
              <w:t>Subtotal Actividad 3.1</w:t>
            </w:r>
          </w:p>
        </w:tc>
        <w:tc>
          <w:tcPr>
            <w:tcW w:w="0" w:type="auto"/>
            <w:tcBorders>
              <w:top w:val="nil"/>
              <w:left w:val="nil"/>
              <w:bottom w:val="single" w:sz="8" w:space="0" w:color="auto"/>
              <w:right w:val="single" w:sz="8" w:space="0" w:color="auto"/>
            </w:tcBorders>
            <w:noWrap/>
            <w:vAlign w:val="center"/>
            <w:hideMark/>
          </w:tcPr>
          <w:p w14:paraId="734AB318" w14:textId="77777777" w:rsidR="005E67EB" w:rsidRPr="00D05F4A" w:rsidRDefault="005E67EB" w:rsidP="00DB7BBA">
            <w:pPr>
              <w:spacing w:after="0" w:line="240" w:lineRule="auto"/>
              <w:jc w:val="center"/>
              <w:rPr>
                <w:rFonts w:eastAsia="Times New Roman"/>
                <w:color w:val="000000"/>
                <w:sz w:val="13"/>
                <w:szCs w:val="13"/>
              </w:rPr>
            </w:pPr>
          </w:p>
        </w:tc>
      </w:tr>
      <w:tr w:rsidR="005E67EB" w:rsidRPr="00D05F4A" w14:paraId="75341676" w14:textId="77777777" w:rsidTr="00DB7BBA">
        <w:trPr>
          <w:trHeight w:val="286"/>
        </w:trPr>
        <w:tc>
          <w:tcPr>
            <w:tcW w:w="0" w:type="auto"/>
            <w:gridSpan w:val="7"/>
            <w:tcBorders>
              <w:top w:val="single" w:sz="8" w:space="0" w:color="auto"/>
              <w:left w:val="single" w:sz="8" w:space="0" w:color="auto"/>
              <w:bottom w:val="single" w:sz="8" w:space="0" w:color="auto"/>
              <w:right w:val="single" w:sz="8" w:space="0" w:color="000000"/>
            </w:tcBorders>
            <w:shd w:val="clear" w:color="000000" w:fill="EFEFEF"/>
            <w:noWrap/>
            <w:vAlign w:val="center"/>
            <w:hideMark/>
          </w:tcPr>
          <w:p w14:paraId="1CFFD03B" w14:textId="77777777" w:rsidR="005E67EB" w:rsidRPr="00D05F4A" w:rsidRDefault="005E67EB" w:rsidP="00DB7BBA">
            <w:pPr>
              <w:spacing w:after="0" w:line="240" w:lineRule="auto"/>
              <w:jc w:val="center"/>
              <w:rPr>
                <w:rFonts w:eastAsia="Times New Roman"/>
                <w:b/>
                <w:bCs/>
                <w:color w:val="000000"/>
                <w:sz w:val="13"/>
                <w:szCs w:val="13"/>
              </w:rPr>
            </w:pPr>
            <w:proofErr w:type="gramStart"/>
            <w:r w:rsidRPr="00D05F4A">
              <w:rPr>
                <w:rFonts w:eastAsia="Times New Roman"/>
                <w:b/>
                <w:bCs/>
                <w:color w:val="000000"/>
                <w:sz w:val="13"/>
                <w:szCs w:val="13"/>
              </w:rPr>
              <w:t>Total</w:t>
            </w:r>
            <w:proofErr w:type="gramEnd"/>
            <w:r w:rsidRPr="00D05F4A">
              <w:rPr>
                <w:rFonts w:eastAsia="Times New Roman"/>
                <w:b/>
                <w:bCs/>
                <w:color w:val="000000"/>
                <w:sz w:val="13"/>
                <w:szCs w:val="13"/>
              </w:rPr>
              <w:t xml:space="preserve"> discriminado</w:t>
            </w:r>
          </w:p>
        </w:tc>
        <w:tc>
          <w:tcPr>
            <w:tcW w:w="0" w:type="auto"/>
            <w:tcBorders>
              <w:top w:val="nil"/>
              <w:left w:val="nil"/>
              <w:bottom w:val="single" w:sz="8" w:space="0" w:color="auto"/>
              <w:right w:val="single" w:sz="8" w:space="0" w:color="auto"/>
            </w:tcBorders>
            <w:shd w:val="clear" w:color="000000" w:fill="EFEFEF"/>
            <w:noWrap/>
            <w:vAlign w:val="center"/>
            <w:hideMark/>
          </w:tcPr>
          <w:p w14:paraId="1CE41631" w14:textId="77777777" w:rsidR="005E67EB" w:rsidRPr="00D05F4A" w:rsidRDefault="005E67EB" w:rsidP="00DB7BBA">
            <w:pPr>
              <w:spacing w:after="0" w:line="240" w:lineRule="auto"/>
              <w:jc w:val="center"/>
              <w:rPr>
                <w:rFonts w:eastAsia="Times New Roman"/>
                <w:b/>
                <w:bCs/>
                <w:color w:val="000000"/>
                <w:sz w:val="13"/>
                <w:szCs w:val="13"/>
              </w:rPr>
            </w:pPr>
          </w:p>
        </w:tc>
      </w:tr>
      <w:tr w:rsidR="005E67EB" w:rsidRPr="00D05F4A" w14:paraId="65EB0D86" w14:textId="77777777" w:rsidTr="00DB7BBA">
        <w:trPr>
          <w:trHeight w:val="286"/>
        </w:trPr>
        <w:tc>
          <w:tcPr>
            <w:tcW w:w="0" w:type="auto"/>
            <w:gridSpan w:val="8"/>
            <w:tcBorders>
              <w:top w:val="single" w:sz="8" w:space="0" w:color="auto"/>
              <w:left w:val="single" w:sz="8" w:space="0" w:color="auto"/>
              <w:bottom w:val="single" w:sz="8" w:space="0" w:color="auto"/>
              <w:right w:val="nil"/>
            </w:tcBorders>
            <w:shd w:val="clear" w:color="000000" w:fill="DAF1F3"/>
            <w:noWrap/>
            <w:vAlign w:val="center"/>
            <w:hideMark/>
          </w:tcPr>
          <w:p w14:paraId="6A4EA3B4" w14:textId="77777777" w:rsidR="005E67EB" w:rsidRPr="00D05F4A" w:rsidRDefault="005E67EB" w:rsidP="00DB7BBA">
            <w:pPr>
              <w:spacing w:after="0" w:line="240" w:lineRule="auto"/>
              <w:jc w:val="center"/>
              <w:rPr>
                <w:rFonts w:eastAsia="Times New Roman"/>
                <w:b/>
                <w:bCs/>
                <w:color w:val="000000"/>
                <w:sz w:val="13"/>
                <w:szCs w:val="13"/>
              </w:rPr>
            </w:pPr>
            <w:proofErr w:type="gramStart"/>
            <w:r w:rsidRPr="00D05F4A">
              <w:rPr>
                <w:rFonts w:eastAsia="Times New Roman"/>
                <w:b/>
                <w:bCs/>
                <w:color w:val="000000"/>
                <w:sz w:val="13"/>
                <w:szCs w:val="13"/>
              </w:rPr>
              <w:t>TOTAL</w:t>
            </w:r>
            <w:proofErr w:type="gramEnd"/>
            <w:r w:rsidRPr="00D05F4A">
              <w:rPr>
                <w:rFonts w:eastAsia="Times New Roman"/>
                <w:b/>
                <w:bCs/>
                <w:color w:val="000000"/>
                <w:sz w:val="13"/>
                <w:szCs w:val="13"/>
              </w:rPr>
              <w:t xml:space="preserve"> PROYECTO</w:t>
            </w:r>
          </w:p>
        </w:tc>
      </w:tr>
    </w:tbl>
    <w:p w14:paraId="2A67CD2C" w14:textId="77777777" w:rsidR="008C492D" w:rsidRDefault="008C492D" w:rsidP="008C492D">
      <w:pPr>
        <w:spacing w:after="0" w:line="240" w:lineRule="auto"/>
      </w:pPr>
    </w:p>
    <w:p w14:paraId="6D1BA78B" w14:textId="77777777" w:rsidR="005E67EB" w:rsidRDefault="005E67EB" w:rsidP="008C492D">
      <w:pPr>
        <w:spacing w:after="0" w:line="240" w:lineRule="auto"/>
      </w:pPr>
    </w:p>
    <w:p w14:paraId="0B30EE5E" w14:textId="72911F08" w:rsidR="00D97C8A" w:rsidRPr="00624D64" w:rsidRDefault="00AC308B" w:rsidP="00593046">
      <w:pPr>
        <w:spacing w:after="0" w:line="240" w:lineRule="auto"/>
        <w:rPr>
          <w:b/>
          <w:bCs/>
          <w:color w:val="000000" w:themeColor="text1"/>
        </w:rPr>
      </w:pPr>
      <w:r w:rsidRPr="00624D64">
        <w:rPr>
          <w:b/>
          <w:bCs/>
          <w:color w:val="000000" w:themeColor="text1"/>
        </w:rPr>
        <w:t>Nota: Los proponentes para el cálculo de la columna de valor total</w:t>
      </w:r>
      <w:r w:rsidR="00624D64" w:rsidRPr="00624D64">
        <w:rPr>
          <w:b/>
          <w:bCs/>
          <w:color w:val="000000" w:themeColor="text1"/>
        </w:rPr>
        <w:t xml:space="preserve"> de </w:t>
      </w:r>
      <w:proofErr w:type="gramStart"/>
      <w:r w:rsidR="00624D64" w:rsidRPr="00624D64">
        <w:rPr>
          <w:b/>
          <w:bCs/>
          <w:color w:val="000000" w:themeColor="text1"/>
        </w:rPr>
        <w:t>cada ítems</w:t>
      </w:r>
      <w:proofErr w:type="gramEnd"/>
      <w:r w:rsidR="00624D64" w:rsidRPr="00624D64">
        <w:rPr>
          <w:b/>
          <w:bCs/>
          <w:color w:val="000000" w:themeColor="text1"/>
        </w:rPr>
        <w:t>, deberán tener en cuenta que este</w:t>
      </w:r>
      <w:r w:rsidRPr="00624D64">
        <w:rPr>
          <w:b/>
          <w:bCs/>
          <w:color w:val="000000" w:themeColor="text1"/>
        </w:rPr>
        <w:t xml:space="preserve"> corresponderá al resultado de multiplicar las cantidades requeridas de cada ítem por el valor unitario por el </w:t>
      </w:r>
      <w:proofErr w:type="spellStart"/>
      <w:r w:rsidRPr="00624D64">
        <w:rPr>
          <w:b/>
          <w:bCs/>
          <w:color w:val="000000" w:themeColor="text1"/>
        </w:rPr>
        <w:t>numero</w:t>
      </w:r>
      <w:proofErr w:type="spellEnd"/>
      <w:r w:rsidRPr="00624D64">
        <w:rPr>
          <w:b/>
          <w:bCs/>
          <w:color w:val="000000" w:themeColor="text1"/>
        </w:rPr>
        <w:t xml:space="preserve"> de eventos requeridos.</w:t>
      </w:r>
    </w:p>
    <w:p w14:paraId="6C12898C" w14:textId="77777777" w:rsidR="00D97C8A" w:rsidRPr="00624D64" w:rsidRDefault="00D97C8A" w:rsidP="00593046">
      <w:pPr>
        <w:spacing w:after="0" w:line="240" w:lineRule="auto"/>
        <w:rPr>
          <w:b/>
          <w:bCs/>
          <w:color w:val="000000" w:themeColor="text1"/>
        </w:rPr>
      </w:pPr>
    </w:p>
    <w:p w14:paraId="4E7E7E9B" w14:textId="6CE89E3E" w:rsidR="00593046" w:rsidRPr="00D0682B" w:rsidRDefault="00D97C8A" w:rsidP="00593046">
      <w:pPr>
        <w:spacing w:after="0" w:line="240" w:lineRule="auto"/>
      </w:pPr>
      <w:r w:rsidRPr="00D0682B">
        <w:t>Atentamente</w:t>
      </w:r>
      <w:r w:rsidR="003B7F1A" w:rsidRPr="00D0682B">
        <w:t>,</w:t>
      </w:r>
    </w:p>
    <w:p w14:paraId="65CBD9EC" w14:textId="77777777" w:rsidR="00593046" w:rsidRPr="00D0682B" w:rsidRDefault="00593046" w:rsidP="00593046">
      <w:pPr>
        <w:spacing w:after="0" w:line="240" w:lineRule="auto"/>
      </w:pPr>
    </w:p>
    <w:p w14:paraId="587415DD" w14:textId="77777777" w:rsidR="00593046" w:rsidRPr="00D0682B" w:rsidRDefault="00593046" w:rsidP="005E67EB">
      <w:pPr>
        <w:spacing w:after="0" w:line="240" w:lineRule="auto"/>
      </w:pPr>
      <w:r w:rsidRPr="00D0682B">
        <w:t>NOMBRE Y FIRMA (persona natural, representante legal de la sociedad, representante del consorcio o unión temporal o apoderado según el caso)</w:t>
      </w:r>
    </w:p>
    <w:p w14:paraId="7877A509" w14:textId="77777777" w:rsidR="00593046" w:rsidRPr="00D0682B" w:rsidRDefault="00593046" w:rsidP="005E67EB">
      <w:pPr>
        <w:spacing w:after="0" w:line="240" w:lineRule="auto"/>
      </w:pPr>
      <w:r w:rsidRPr="00D0682B">
        <w:t>C</w:t>
      </w:r>
      <w:r w:rsidR="003B7F1A" w:rsidRPr="00D0682B">
        <w:t xml:space="preserve">.C                    </w:t>
      </w:r>
      <w:r w:rsidRPr="00D0682B">
        <w:t xml:space="preserve">expedida en </w:t>
      </w:r>
    </w:p>
    <w:p w14:paraId="21033DBC" w14:textId="77777777" w:rsidR="003B7F1A" w:rsidRPr="00D0682B" w:rsidRDefault="003B7F1A" w:rsidP="005E67EB">
      <w:pPr>
        <w:spacing w:after="0" w:line="240" w:lineRule="auto"/>
      </w:pPr>
      <w:r w:rsidRPr="00D0682B">
        <w:t>Proponente:</w:t>
      </w:r>
    </w:p>
    <w:p w14:paraId="14642BB1" w14:textId="77777777" w:rsidR="00593046" w:rsidRPr="00D0682B" w:rsidRDefault="00593046" w:rsidP="005E67EB">
      <w:pPr>
        <w:spacing w:after="0" w:line="240" w:lineRule="auto"/>
      </w:pPr>
      <w:proofErr w:type="spellStart"/>
      <w:r w:rsidRPr="00D0682B">
        <w:t>Nit</w:t>
      </w:r>
      <w:proofErr w:type="spellEnd"/>
      <w:r w:rsidRPr="00D0682B">
        <w:t xml:space="preserve">. </w:t>
      </w:r>
    </w:p>
    <w:p w14:paraId="61ECE955" w14:textId="77777777" w:rsidR="00593046" w:rsidRPr="00D0682B" w:rsidRDefault="00593046" w:rsidP="005E67EB">
      <w:pPr>
        <w:spacing w:after="0" w:line="240" w:lineRule="auto"/>
      </w:pPr>
      <w:r w:rsidRPr="00D0682B">
        <w:t>Dirección</w:t>
      </w:r>
    </w:p>
    <w:p w14:paraId="58C05F62" w14:textId="77777777" w:rsidR="00593046" w:rsidRPr="00D0682B" w:rsidRDefault="00593046" w:rsidP="005E67EB">
      <w:pPr>
        <w:spacing w:after="0" w:line="240" w:lineRule="auto"/>
      </w:pPr>
      <w:r w:rsidRPr="00D0682B">
        <w:t>Número de teléfono</w:t>
      </w:r>
    </w:p>
    <w:p w14:paraId="671815F4" w14:textId="77777777" w:rsidR="003B7F1A" w:rsidRPr="00D0682B" w:rsidRDefault="003B7F1A" w:rsidP="005E67EB">
      <w:pPr>
        <w:spacing w:after="0" w:line="240" w:lineRule="auto"/>
      </w:pPr>
      <w:r w:rsidRPr="00D0682B">
        <w:t>Número:</w:t>
      </w:r>
    </w:p>
    <w:p w14:paraId="220F2C4D" w14:textId="77777777" w:rsidR="00593046" w:rsidRPr="00D0682B" w:rsidRDefault="003B7F1A" w:rsidP="005E67EB">
      <w:pPr>
        <w:spacing w:after="0" w:line="240" w:lineRule="auto"/>
      </w:pPr>
      <w:r w:rsidRPr="00D0682B">
        <w:t>C</w:t>
      </w:r>
      <w:r w:rsidR="00593046" w:rsidRPr="00D0682B">
        <w:t>orreo electrónico</w:t>
      </w:r>
    </w:p>
    <w:p w14:paraId="535C8B8F" w14:textId="38DFDDC8" w:rsidR="00B55AF8" w:rsidRPr="00D0682B" w:rsidRDefault="003B7F1A" w:rsidP="005E67EB">
      <w:pPr>
        <w:spacing w:after="0" w:line="240" w:lineRule="auto"/>
      </w:pPr>
      <w:r w:rsidRPr="00D0682B">
        <w:t>Firma:</w:t>
      </w:r>
    </w:p>
    <w:sectPr w:rsidR="00B55AF8" w:rsidRPr="00D0682B" w:rsidSect="008618E7">
      <w:headerReference w:type="default" r:id="rId7"/>
      <w:footerReference w:type="default" r:id="rId8"/>
      <w:pgSz w:w="18711" w:h="12247" w:orient="landscape"/>
      <w:pgMar w:top="1701" w:right="2336" w:bottom="1627" w:left="179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A03C1" w14:textId="77777777" w:rsidR="0023533C" w:rsidRDefault="0023533C" w:rsidP="00B55AF8">
      <w:pPr>
        <w:spacing w:after="0" w:line="240" w:lineRule="auto"/>
      </w:pPr>
      <w:r>
        <w:separator/>
      </w:r>
    </w:p>
  </w:endnote>
  <w:endnote w:type="continuationSeparator" w:id="0">
    <w:p w14:paraId="57F99F20" w14:textId="77777777" w:rsidR="0023533C" w:rsidRDefault="0023533C" w:rsidP="00B55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3F26" w14:textId="77777777" w:rsidR="001F40A0" w:rsidRDefault="00E3369D">
    <w:pPr>
      <w:pStyle w:val="Piedepgina"/>
    </w:pPr>
    <w:r>
      <w:rPr>
        <w:noProof/>
        <w:lang w:eastAsia="es-CO"/>
      </w:rPr>
      <mc:AlternateContent>
        <mc:Choice Requires="wps">
          <w:drawing>
            <wp:anchor distT="45720" distB="45720" distL="114300" distR="114300" simplePos="0" relativeHeight="251661312" behindDoc="0" locked="0" layoutInCell="1" allowOverlap="1" wp14:anchorId="67002634" wp14:editId="0BC67F05">
              <wp:simplePos x="0" y="0"/>
              <wp:positionH relativeFrom="column">
                <wp:posOffset>-1050290</wp:posOffset>
              </wp:positionH>
              <wp:positionV relativeFrom="paragraph">
                <wp:posOffset>135727</wp:posOffset>
              </wp:positionV>
              <wp:extent cx="1599565" cy="253497"/>
              <wp:effectExtent l="0" t="0" r="0" b="0"/>
              <wp:wrapNone/>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253497"/>
                      </a:xfrm>
                      <a:prstGeom prst="rect">
                        <a:avLst/>
                      </a:prstGeom>
                      <a:noFill/>
                      <a:ln w="9525">
                        <a:noFill/>
                        <a:miter lim="800000"/>
                        <a:headEnd/>
                        <a:tailEnd/>
                      </a:ln>
                    </wps:spPr>
                    <wps:txbx>
                      <w:txbxContent>
                        <w:p w14:paraId="0BB3F282" w14:textId="77777777" w:rsidR="001F40A0" w:rsidRPr="009E2369" w:rsidRDefault="00E3369D" w:rsidP="009E2369">
                          <w:pPr>
                            <w:jc w:val="center"/>
                            <w:rPr>
                              <w:b/>
                              <w:bCs/>
                              <w:sz w:val="18"/>
                              <w:szCs w:val="18"/>
                            </w:rPr>
                          </w:pPr>
                          <w:r w:rsidRPr="009E2369">
                            <w:rPr>
                              <w:b/>
                              <w:bCs/>
                              <w:sz w:val="18"/>
                              <w:szCs w:val="18"/>
                              <w:lang w:val="es-ES"/>
                            </w:rPr>
                            <w:t xml:space="preserve">Página </w:t>
                          </w:r>
                          <w:r w:rsidRPr="009E2369">
                            <w:rPr>
                              <w:b/>
                              <w:bCs/>
                              <w:sz w:val="18"/>
                              <w:szCs w:val="18"/>
                            </w:rPr>
                            <w:fldChar w:fldCharType="begin"/>
                          </w:r>
                          <w:r w:rsidRPr="009E2369">
                            <w:rPr>
                              <w:b/>
                              <w:bCs/>
                              <w:sz w:val="18"/>
                              <w:szCs w:val="18"/>
                            </w:rPr>
                            <w:instrText>PAGE  \* Arabic  \* MERGEFORMAT</w:instrText>
                          </w:r>
                          <w:r w:rsidRPr="009E2369">
                            <w:rPr>
                              <w:b/>
                              <w:bCs/>
                              <w:sz w:val="18"/>
                              <w:szCs w:val="18"/>
                            </w:rPr>
                            <w:fldChar w:fldCharType="separate"/>
                          </w:r>
                          <w:r w:rsidR="003B7F1A" w:rsidRPr="003B7F1A">
                            <w:rPr>
                              <w:b/>
                              <w:bCs/>
                              <w:noProof/>
                              <w:sz w:val="18"/>
                              <w:szCs w:val="18"/>
                              <w:lang w:val="es-ES"/>
                            </w:rPr>
                            <w:t>2</w:t>
                          </w:r>
                          <w:r w:rsidRPr="009E2369">
                            <w:rPr>
                              <w:b/>
                              <w:bCs/>
                              <w:sz w:val="18"/>
                              <w:szCs w:val="18"/>
                            </w:rPr>
                            <w:fldChar w:fldCharType="end"/>
                          </w:r>
                          <w:r w:rsidRPr="009E2369">
                            <w:rPr>
                              <w:b/>
                              <w:bCs/>
                              <w:sz w:val="18"/>
                              <w:szCs w:val="18"/>
                              <w:lang w:val="es-ES"/>
                            </w:rPr>
                            <w:t xml:space="preserve"> de </w:t>
                          </w:r>
                          <w:r w:rsidRPr="009E2369">
                            <w:rPr>
                              <w:b/>
                              <w:bCs/>
                              <w:sz w:val="18"/>
                              <w:szCs w:val="18"/>
                            </w:rPr>
                            <w:fldChar w:fldCharType="begin"/>
                          </w:r>
                          <w:r w:rsidRPr="009E2369">
                            <w:rPr>
                              <w:b/>
                              <w:bCs/>
                              <w:sz w:val="18"/>
                              <w:szCs w:val="18"/>
                            </w:rPr>
                            <w:instrText>NUMPAGES  \* Arabic  \* MERGEFORMAT</w:instrText>
                          </w:r>
                          <w:r w:rsidRPr="009E2369">
                            <w:rPr>
                              <w:b/>
                              <w:bCs/>
                              <w:sz w:val="18"/>
                              <w:szCs w:val="18"/>
                            </w:rPr>
                            <w:fldChar w:fldCharType="separate"/>
                          </w:r>
                          <w:r w:rsidR="003B7F1A" w:rsidRPr="003B7F1A">
                            <w:rPr>
                              <w:b/>
                              <w:bCs/>
                              <w:noProof/>
                              <w:sz w:val="18"/>
                              <w:szCs w:val="18"/>
                              <w:lang w:val="es-ES"/>
                            </w:rPr>
                            <w:t>2</w:t>
                          </w:r>
                          <w:r w:rsidRPr="009E2369">
                            <w:rPr>
                              <w:b/>
                              <w:bCs/>
                              <w:sz w:val="18"/>
                              <w:szCs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002634" id="_x0000_t202" coordsize="21600,21600" o:spt="202" path="m,l,21600r21600,l21600,xe">
              <v:stroke joinstyle="miter"/>
              <v:path gradientshapeok="t" o:connecttype="rect"/>
            </v:shapetype>
            <v:shape id="_x0000_s1027" type="#_x0000_t202" style="position:absolute;left:0;text-align:left;margin-left:-82.7pt;margin-top:10.7pt;width:125.95pt;height:19.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" filled="f" stroked="f">
              <v:textbox>
                <w:txbxContent>
                  <w:p w14:paraId="0BB3F282" w14:textId="77777777" w:rsidR="001F40A0" w:rsidRPr="009E2369" w:rsidRDefault="00E3369D" w:rsidP="009E2369">
                    <w:pPr>
                      <w:jc w:val="center"/>
                      <w:rPr>
                        <w:b/>
                        <w:bCs/>
                        <w:sz w:val="18"/>
                        <w:szCs w:val="18"/>
                      </w:rPr>
                    </w:pPr>
                    <w:r w:rsidRPr="009E2369">
                      <w:rPr>
                        <w:b/>
                        <w:bCs/>
                        <w:sz w:val="18"/>
                        <w:szCs w:val="18"/>
                        <w:lang w:val="es-ES"/>
                      </w:rPr>
                      <w:t xml:space="preserve">Página </w:t>
                    </w:r>
                    <w:r w:rsidRPr="009E2369">
                      <w:rPr>
                        <w:b/>
                        <w:bCs/>
                        <w:sz w:val="18"/>
                        <w:szCs w:val="18"/>
                      </w:rPr>
                      <w:fldChar w:fldCharType="begin"/>
                    </w:r>
                    <w:r w:rsidRPr="009E2369">
                      <w:rPr>
                        <w:b/>
                        <w:bCs/>
                        <w:sz w:val="18"/>
                        <w:szCs w:val="18"/>
                      </w:rPr>
                      <w:instrText>PAGE  \* Arabic  \* MERGEFORMAT</w:instrText>
                    </w:r>
                    <w:r w:rsidRPr="009E2369">
                      <w:rPr>
                        <w:b/>
                        <w:bCs/>
                        <w:sz w:val="18"/>
                        <w:szCs w:val="18"/>
                      </w:rPr>
                      <w:fldChar w:fldCharType="separate"/>
                    </w:r>
                    <w:r w:rsidR="003B7F1A" w:rsidRPr="003B7F1A">
                      <w:rPr>
                        <w:b/>
                        <w:bCs/>
                        <w:noProof/>
                        <w:sz w:val="18"/>
                        <w:szCs w:val="18"/>
                        <w:lang w:val="es-ES"/>
                      </w:rPr>
                      <w:t>2</w:t>
                    </w:r>
                    <w:r w:rsidRPr="009E2369">
                      <w:rPr>
                        <w:b/>
                        <w:bCs/>
                        <w:sz w:val="18"/>
                        <w:szCs w:val="18"/>
                      </w:rPr>
                      <w:fldChar w:fldCharType="end"/>
                    </w:r>
                    <w:r w:rsidRPr="009E2369">
                      <w:rPr>
                        <w:b/>
                        <w:bCs/>
                        <w:sz w:val="18"/>
                        <w:szCs w:val="18"/>
                        <w:lang w:val="es-ES"/>
                      </w:rPr>
                      <w:t xml:space="preserve"> de </w:t>
                    </w:r>
                    <w:r w:rsidRPr="009E2369">
                      <w:rPr>
                        <w:b/>
                        <w:bCs/>
                        <w:sz w:val="18"/>
                        <w:szCs w:val="18"/>
                      </w:rPr>
                      <w:fldChar w:fldCharType="begin"/>
                    </w:r>
                    <w:r w:rsidRPr="009E2369">
                      <w:rPr>
                        <w:b/>
                        <w:bCs/>
                        <w:sz w:val="18"/>
                        <w:szCs w:val="18"/>
                      </w:rPr>
                      <w:instrText>NUMPAGES  \* Arabic  \* MERGEFORMAT</w:instrText>
                    </w:r>
                    <w:r w:rsidRPr="009E2369">
                      <w:rPr>
                        <w:b/>
                        <w:bCs/>
                        <w:sz w:val="18"/>
                        <w:szCs w:val="18"/>
                      </w:rPr>
                      <w:fldChar w:fldCharType="separate"/>
                    </w:r>
                    <w:r w:rsidR="003B7F1A" w:rsidRPr="003B7F1A">
                      <w:rPr>
                        <w:b/>
                        <w:bCs/>
                        <w:noProof/>
                        <w:sz w:val="18"/>
                        <w:szCs w:val="18"/>
                        <w:lang w:val="es-ES"/>
                      </w:rPr>
                      <w:t>2</w:t>
                    </w:r>
                    <w:r w:rsidRPr="009E2369">
                      <w:rPr>
                        <w:b/>
                        <w:bCs/>
                        <w:sz w:val="18"/>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6F0E6" w14:textId="77777777" w:rsidR="0023533C" w:rsidRDefault="0023533C" w:rsidP="00B55AF8">
      <w:pPr>
        <w:spacing w:after="0" w:line="240" w:lineRule="auto"/>
      </w:pPr>
      <w:r>
        <w:separator/>
      </w:r>
    </w:p>
  </w:footnote>
  <w:footnote w:type="continuationSeparator" w:id="0">
    <w:p w14:paraId="102F6CE6" w14:textId="77777777" w:rsidR="0023533C" w:rsidRDefault="0023533C" w:rsidP="00B55A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F347" w14:textId="14ABE99B" w:rsidR="001F40A0" w:rsidRDefault="00E3369D" w:rsidP="00A01BD8">
    <w:pPr>
      <w:pStyle w:val="Encabezado"/>
    </w:pPr>
    <w:r>
      <w:rPr>
        <w:noProof/>
        <w:lang w:eastAsia="es-CO"/>
      </w:rPr>
      <mc:AlternateContent>
        <mc:Choice Requires="wps">
          <w:drawing>
            <wp:anchor distT="45720" distB="45720" distL="114300" distR="114300" simplePos="0" relativeHeight="251660288" behindDoc="0" locked="0" layoutInCell="1" allowOverlap="1" wp14:anchorId="58C7D388" wp14:editId="050AFCA0">
              <wp:simplePos x="0" y="0"/>
              <wp:positionH relativeFrom="column">
                <wp:posOffset>4112260</wp:posOffset>
              </wp:positionH>
              <wp:positionV relativeFrom="paragraph">
                <wp:posOffset>455132</wp:posOffset>
              </wp:positionV>
              <wp:extent cx="1599565" cy="34036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340360"/>
                      </a:xfrm>
                      <a:prstGeom prst="rect">
                        <a:avLst/>
                      </a:prstGeom>
                      <a:noFill/>
                      <a:ln w="9525">
                        <a:noFill/>
                        <a:miter lim="800000"/>
                        <a:headEnd/>
                        <a:tailEnd/>
                      </a:ln>
                    </wps:spPr>
                    <wps:txbx>
                      <w:txbxContent>
                        <w:p w14:paraId="5903AC65" w14:textId="0B6D6A6A" w:rsidR="001F40A0" w:rsidRPr="00E40233" w:rsidRDefault="001F40A0" w:rsidP="00A01BD8">
                          <w:pPr>
                            <w:jc w:val="center"/>
                            <w:rPr>
                              <w:b/>
                              <w:bCs/>
                              <w:sz w:val="16"/>
                              <w:szCs w:val="16"/>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C7D388" id="_x0000_t202" coordsize="21600,21600" o:spt="202" path="m,l,21600r21600,l21600,xe">
              <v:stroke joinstyle="miter"/>
              <v:path gradientshapeok="t" o:connecttype="rect"/>
            </v:shapetype>
            <v:shape id="Cuadro de texto 2" o:spid="_x0000_s1026" type="#_x0000_t202" style="position:absolute;left:0;text-align:left;margin-left:323.8pt;margin-top:35.85pt;width:125.95pt;height:26.8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" filled="f" stroked="f">
              <v:textbox>
                <w:txbxContent>
                  <w:p w14:paraId="5903AC65" w14:textId="0B6D6A6A" w:rsidR="001F40A0" w:rsidRPr="00E40233" w:rsidRDefault="001F40A0" w:rsidP="00A01BD8">
                    <w:pPr>
                      <w:jc w:val="center"/>
                      <w:rPr>
                        <w:b/>
                        <w:bCs/>
                        <w:sz w:val="16"/>
                        <w:szCs w:val="16"/>
                        <w:lang w:val="es-MX"/>
                      </w:rPr>
                    </w:pP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E00AE"/>
    <w:multiLevelType w:val="hybridMultilevel"/>
    <w:tmpl w:val="80E8C89C"/>
    <w:lvl w:ilvl="0" w:tplc="A008021C">
      <w:start w:val="1"/>
      <w:numFmt w:val="upperLetter"/>
      <w:lvlText w:val="%1."/>
      <w:lvlJc w:val="left"/>
      <w:pPr>
        <w:ind w:left="108" w:hanging="708"/>
      </w:pPr>
      <w:rPr>
        <w:rFonts w:ascii="Arial" w:eastAsia="Arial" w:hAnsi="Arial" w:cs="Arial" w:hint="default"/>
        <w:b w:val="0"/>
        <w:bCs w:val="0"/>
        <w:i w:val="0"/>
        <w:iCs w:val="0"/>
        <w:spacing w:val="0"/>
        <w:w w:val="100"/>
        <w:sz w:val="16"/>
        <w:szCs w:val="16"/>
        <w:lang w:val="es-ES" w:eastAsia="en-US" w:bidi="ar-SA"/>
      </w:rPr>
    </w:lvl>
    <w:lvl w:ilvl="1" w:tplc="6CE87BD8">
      <w:numFmt w:val="bullet"/>
      <w:lvlText w:val="•"/>
      <w:lvlJc w:val="left"/>
      <w:pPr>
        <w:ind w:left="1175" w:hanging="708"/>
      </w:pPr>
      <w:rPr>
        <w:rFonts w:hint="default"/>
        <w:lang w:val="es-ES" w:eastAsia="en-US" w:bidi="ar-SA"/>
      </w:rPr>
    </w:lvl>
    <w:lvl w:ilvl="2" w:tplc="AC70BBEE">
      <w:numFmt w:val="bullet"/>
      <w:lvlText w:val="•"/>
      <w:lvlJc w:val="left"/>
      <w:pPr>
        <w:ind w:left="2251" w:hanging="708"/>
      </w:pPr>
      <w:rPr>
        <w:rFonts w:hint="default"/>
        <w:lang w:val="es-ES" w:eastAsia="en-US" w:bidi="ar-SA"/>
      </w:rPr>
    </w:lvl>
    <w:lvl w:ilvl="3" w:tplc="41A85BFA">
      <w:numFmt w:val="bullet"/>
      <w:lvlText w:val="•"/>
      <w:lvlJc w:val="left"/>
      <w:pPr>
        <w:ind w:left="3326" w:hanging="708"/>
      </w:pPr>
      <w:rPr>
        <w:rFonts w:hint="default"/>
        <w:lang w:val="es-ES" w:eastAsia="en-US" w:bidi="ar-SA"/>
      </w:rPr>
    </w:lvl>
    <w:lvl w:ilvl="4" w:tplc="1AC0B518">
      <w:numFmt w:val="bullet"/>
      <w:lvlText w:val="•"/>
      <w:lvlJc w:val="left"/>
      <w:pPr>
        <w:ind w:left="4402" w:hanging="708"/>
      </w:pPr>
      <w:rPr>
        <w:rFonts w:hint="default"/>
        <w:lang w:val="es-ES" w:eastAsia="en-US" w:bidi="ar-SA"/>
      </w:rPr>
    </w:lvl>
    <w:lvl w:ilvl="5" w:tplc="C9AAFE86">
      <w:numFmt w:val="bullet"/>
      <w:lvlText w:val="•"/>
      <w:lvlJc w:val="left"/>
      <w:pPr>
        <w:ind w:left="5478" w:hanging="708"/>
      </w:pPr>
      <w:rPr>
        <w:rFonts w:hint="default"/>
        <w:lang w:val="es-ES" w:eastAsia="en-US" w:bidi="ar-SA"/>
      </w:rPr>
    </w:lvl>
    <w:lvl w:ilvl="6" w:tplc="F5601BA2">
      <w:numFmt w:val="bullet"/>
      <w:lvlText w:val="•"/>
      <w:lvlJc w:val="left"/>
      <w:pPr>
        <w:ind w:left="6553" w:hanging="708"/>
      </w:pPr>
      <w:rPr>
        <w:rFonts w:hint="default"/>
        <w:lang w:val="es-ES" w:eastAsia="en-US" w:bidi="ar-SA"/>
      </w:rPr>
    </w:lvl>
    <w:lvl w:ilvl="7" w:tplc="57E0C092">
      <w:numFmt w:val="bullet"/>
      <w:lvlText w:val="•"/>
      <w:lvlJc w:val="left"/>
      <w:pPr>
        <w:ind w:left="7629" w:hanging="708"/>
      </w:pPr>
      <w:rPr>
        <w:rFonts w:hint="default"/>
        <w:lang w:val="es-ES" w:eastAsia="en-US" w:bidi="ar-SA"/>
      </w:rPr>
    </w:lvl>
    <w:lvl w:ilvl="8" w:tplc="53FAFD7E">
      <w:numFmt w:val="bullet"/>
      <w:lvlText w:val="•"/>
      <w:lvlJc w:val="left"/>
      <w:pPr>
        <w:ind w:left="8704" w:hanging="708"/>
      </w:pPr>
      <w:rPr>
        <w:rFonts w:hint="default"/>
        <w:lang w:val="es-ES" w:eastAsia="en-US" w:bidi="ar-SA"/>
      </w:rPr>
    </w:lvl>
  </w:abstractNum>
  <w:abstractNum w:abstractNumId="1" w15:restartNumberingAfterBreak="0">
    <w:nsid w:val="75D70ACA"/>
    <w:multiLevelType w:val="multilevel"/>
    <w:tmpl w:val="2264BB5E"/>
    <w:lvl w:ilvl="0">
      <w:start w:val="1"/>
      <w:numFmt w:val="decimal"/>
      <w:lvlText w:val="%1."/>
      <w:lvlJc w:val="left"/>
      <w:pPr>
        <w:ind w:left="720" w:hanging="360"/>
      </w:pPr>
      <w:rPr>
        <w:rFonts w:hint="default"/>
        <w:b/>
        <w:sz w:val="24"/>
      </w:rPr>
    </w:lvl>
    <w:lvl w:ilvl="1">
      <w:start w:val="1"/>
      <w:numFmt w:val="decimal"/>
      <w:isLgl/>
      <w:lvlText w:val="%1.%2"/>
      <w:lvlJc w:val="left"/>
      <w:pPr>
        <w:ind w:left="502" w:hanging="360"/>
      </w:pPr>
      <w:rPr>
        <w:rFonts w:hint="default"/>
        <w:b/>
      </w:rPr>
    </w:lvl>
    <w:lvl w:ilvl="2">
      <w:start w:val="1"/>
      <w:numFmt w:val="upperLetter"/>
      <w:isLgl/>
      <w:lvlText w:val="%1.%2.%3"/>
      <w:lvlJc w:val="left"/>
      <w:pPr>
        <w:ind w:left="1800" w:hanging="720"/>
      </w:pPr>
      <w:rPr>
        <w:rFonts w:hint="default"/>
        <w:color w:val="auto"/>
      </w:rPr>
    </w:lvl>
    <w:lvl w:ilvl="3">
      <w:start w:val="1"/>
      <w:numFmt w:val="upperLetter"/>
      <w:isLgl/>
      <w:lvlText w:val="%1.%2.%3.%4"/>
      <w:lvlJc w:val="left"/>
      <w:pPr>
        <w:ind w:left="1287"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0246916">
    <w:abstractNumId w:val="2"/>
  </w:num>
  <w:num w:numId="2" w16cid:durableId="1040589673">
    <w:abstractNumId w:val="1"/>
  </w:num>
  <w:num w:numId="3" w16cid:durableId="912392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AF8"/>
    <w:rsid w:val="000500DE"/>
    <w:rsid w:val="000B24AB"/>
    <w:rsid w:val="000D2A37"/>
    <w:rsid w:val="000E5F5A"/>
    <w:rsid w:val="00133CAC"/>
    <w:rsid w:val="00181F4C"/>
    <w:rsid w:val="001A1AD2"/>
    <w:rsid w:val="001B2D18"/>
    <w:rsid w:val="001E1B8B"/>
    <w:rsid w:val="001F40A0"/>
    <w:rsid w:val="00205BAF"/>
    <w:rsid w:val="0023533C"/>
    <w:rsid w:val="00236AF3"/>
    <w:rsid w:val="00253BC9"/>
    <w:rsid w:val="0026029F"/>
    <w:rsid w:val="002D1578"/>
    <w:rsid w:val="003361A7"/>
    <w:rsid w:val="00370CF1"/>
    <w:rsid w:val="003B5F7D"/>
    <w:rsid w:val="003B7F1A"/>
    <w:rsid w:val="003C5176"/>
    <w:rsid w:val="003D6829"/>
    <w:rsid w:val="00401118"/>
    <w:rsid w:val="0041401A"/>
    <w:rsid w:val="004379D0"/>
    <w:rsid w:val="004453D4"/>
    <w:rsid w:val="004521DF"/>
    <w:rsid w:val="00470B8D"/>
    <w:rsid w:val="004B18E2"/>
    <w:rsid w:val="004B21B0"/>
    <w:rsid w:val="004D2E9E"/>
    <w:rsid w:val="004F1369"/>
    <w:rsid w:val="00503B51"/>
    <w:rsid w:val="00511448"/>
    <w:rsid w:val="0059094E"/>
    <w:rsid w:val="00593046"/>
    <w:rsid w:val="005E67EB"/>
    <w:rsid w:val="006166EB"/>
    <w:rsid w:val="00621693"/>
    <w:rsid w:val="00624D64"/>
    <w:rsid w:val="00644BA3"/>
    <w:rsid w:val="00650207"/>
    <w:rsid w:val="00653F8F"/>
    <w:rsid w:val="006665F2"/>
    <w:rsid w:val="00667F9A"/>
    <w:rsid w:val="006A0D83"/>
    <w:rsid w:val="006B2086"/>
    <w:rsid w:val="006B3E75"/>
    <w:rsid w:val="006E25E6"/>
    <w:rsid w:val="00711DF5"/>
    <w:rsid w:val="00764CC8"/>
    <w:rsid w:val="007A5861"/>
    <w:rsid w:val="007B2ACF"/>
    <w:rsid w:val="007C14F2"/>
    <w:rsid w:val="00805CDA"/>
    <w:rsid w:val="0085221A"/>
    <w:rsid w:val="008618E7"/>
    <w:rsid w:val="008C492D"/>
    <w:rsid w:val="009137F7"/>
    <w:rsid w:val="00925447"/>
    <w:rsid w:val="00930D36"/>
    <w:rsid w:val="00935435"/>
    <w:rsid w:val="00947178"/>
    <w:rsid w:val="00981EED"/>
    <w:rsid w:val="009A2252"/>
    <w:rsid w:val="009C7ADD"/>
    <w:rsid w:val="009D6995"/>
    <w:rsid w:val="009F47E4"/>
    <w:rsid w:val="00A20B25"/>
    <w:rsid w:val="00A50D49"/>
    <w:rsid w:val="00AC308B"/>
    <w:rsid w:val="00AE48C4"/>
    <w:rsid w:val="00AE4DF1"/>
    <w:rsid w:val="00B51D9B"/>
    <w:rsid w:val="00B54939"/>
    <w:rsid w:val="00B55AF8"/>
    <w:rsid w:val="00BA5EF6"/>
    <w:rsid w:val="00C724E5"/>
    <w:rsid w:val="00C84071"/>
    <w:rsid w:val="00CB6A8D"/>
    <w:rsid w:val="00D0682B"/>
    <w:rsid w:val="00D120BE"/>
    <w:rsid w:val="00D12D21"/>
    <w:rsid w:val="00D32306"/>
    <w:rsid w:val="00D5012C"/>
    <w:rsid w:val="00D54587"/>
    <w:rsid w:val="00D61123"/>
    <w:rsid w:val="00D94BCB"/>
    <w:rsid w:val="00D96074"/>
    <w:rsid w:val="00D97C8A"/>
    <w:rsid w:val="00DA202C"/>
    <w:rsid w:val="00DB249E"/>
    <w:rsid w:val="00DD52C2"/>
    <w:rsid w:val="00E154A2"/>
    <w:rsid w:val="00E3369D"/>
    <w:rsid w:val="00E77B0A"/>
    <w:rsid w:val="00E77CB9"/>
    <w:rsid w:val="00E80CE1"/>
    <w:rsid w:val="00E92523"/>
    <w:rsid w:val="00EA5103"/>
    <w:rsid w:val="00EA7EE3"/>
    <w:rsid w:val="00ED7809"/>
    <w:rsid w:val="00F35BCD"/>
    <w:rsid w:val="00F50412"/>
    <w:rsid w:val="00F83C7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A1322"/>
  <w15:chartTrackingRefBased/>
  <w15:docId w15:val="{81E2E442-5181-45E3-980F-5424A23F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AF8"/>
    <w:pPr>
      <w:jc w:val="both"/>
    </w:pPr>
    <w:rPr>
      <w:rFonts w:ascii="Arial" w:hAnsi="Arial" w:cs="Arial"/>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55A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5AF8"/>
    <w:rPr>
      <w:rFonts w:ascii="Arial" w:hAnsi="Arial" w:cs="Arial"/>
      <w:kern w:val="2"/>
      <w14:ligatures w14:val="standardContextual"/>
    </w:rPr>
  </w:style>
  <w:style w:type="paragraph" w:styleId="Piedepgina">
    <w:name w:val="footer"/>
    <w:basedOn w:val="Normal"/>
    <w:link w:val="PiedepginaCar"/>
    <w:uiPriority w:val="99"/>
    <w:unhideWhenUsed/>
    <w:rsid w:val="00B55A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5AF8"/>
    <w:rPr>
      <w:rFonts w:ascii="Arial" w:hAnsi="Arial" w:cs="Arial"/>
      <w:kern w:val="2"/>
      <w14:ligatures w14:val="standardContextual"/>
    </w:rPr>
  </w:style>
  <w:style w:type="paragraph" w:styleId="Prrafodelista">
    <w:name w:val="List Paragraph"/>
    <w:aliases w:val="Bullet List,FooterText,numbered,List Paragraph1,Paragraphe de liste1,lp1,HOJA,Bolita,Párrafo de lista4,BOLADEF,Párrafo de lista3,Párrafo de lista21,BOLA,Nivel 1 OS,Colorful List Accent 1,Colorful List - Accent 11,COLEGIO,List Paragraph"/>
    <w:basedOn w:val="Normal"/>
    <w:link w:val="PrrafodelistaCar"/>
    <w:uiPriority w:val="34"/>
    <w:qFormat/>
    <w:rsid w:val="00B55AF8"/>
    <w:pPr>
      <w:ind w:left="720"/>
      <w:contextualSpacing/>
    </w:pPr>
  </w:style>
  <w:style w:type="character" w:styleId="Hipervnculo">
    <w:name w:val="Hyperlink"/>
    <w:basedOn w:val="Fuentedeprrafopredeter"/>
    <w:uiPriority w:val="99"/>
    <w:unhideWhenUsed/>
    <w:rsid w:val="00B55AF8"/>
    <w:rPr>
      <w:color w:val="0000FF"/>
      <w:u w:val="single"/>
    </w:rPr>
  </w:style>
  <w:style w:type="character" w:customStyle="1" w:styleId="PrrafodelistaCar">
    <w:name w:val="Párrafo de lista Car"/>
    <w:aliases w:val="Bullet List Car,FooterText Car,numbered Car,List Paragraph1 Car,Paragraphe de liste1 Car,lp1 Car,HOJA Car,Bolita Car,Párrafo de lista4 Car,BOLADEF Car,Párrafo de lista3 Car,Párrafo de lista21 Car,BOLA Car,Nivel 1 OS Car,COLEGIO Car"/>
    <w:link w:val="Prrafodelista"/>
    <w:uiPriority w:val="34"/>
    <w:qFormat/>
    <w:locked/>
    <w:rsid w:val="00B55AF8"/>
    <w:rPr>
      <w:rFonts w:ascii="Arial" w:hAnsi="Arial" w:cs="Arial"/>
      <w:kern w:val="2"/>
      <w14:ligatures w14:val="standardContextual"/>
    </w:rPr>
  </w:style>
  <w:style w:type="paragraph" w:customStyle="1" w:styleId="TableParagraph">
    <w:name w:val="Table Paragraph"/>
    <w:basedOn w:val="Normal"/>
    <w:uiPriority w:val="1"/>
    <w:qFormat/>
    <w:rsid w:val="00B55AF8"/>
    <w:pPr>
      <w:widowControl w:val="0"/>
      <w:tabs>
        <w:tab w:val="left" w:pos="8080"/>
      </w:tabs>
      <w:autoSpaceDE w:val="0"/>
      <w:autoSpaceDN w:val="0"/>
      <w:spacing w:after="0" w:line="276" w:lineRule="auto"/>
    </w:pPr>
    <w:rPr>
      <w:rFonts w:asciiTheme="minorHAnsi" w:eastAsia="Arial Narrow" w:hAnsiTheme="minorHAnsi" w:cstheme="minorHAnsi"/>
      <w:color w:val="000000" w:themeColor="text1"/>
      <w:kern w:val="0"/>
      <w:sz w:val="24"/>
      <w:szCs w:val="24"/>
      <w:lang w:val="es-ES"/>
      <w14:ligatures w14:val="none"/>
    </w:rPr>
  </w:style>
  <w:style w:type="table" w:styleId="Tablaconcuadrcula">
    <w:name w:val="Table Grid"/>
    <w:basedOn w:val="Tablanormal"/>
    <w:uiPriority w:val="39"/>
    <w:rsid w:val="00B55AF8"/>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55AF8"/>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B55AF8"/>
    <w:pPr>
      <w:spacing w:before="100" w:beforeAutospacing="1" w:after="100" w:afterAutospacing="1" w:line="240" w:lineRule="auto"/>
      <w:jc w:val="left"/>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1"/>
    <w:qFormat/>
    <w:rsid w:val="00B55AF8"/>
    <w:pPr>
      <w:widowControl w:val="0"/>
      <w:autoSpaceDE w:val="0"/>
      <w:autoSpaceDN w:val="0"/>
      <w:spacing w:after="0" w:line="240" w:lineRule="auto"/>
      <w:jc w:val="left"/>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rsid w:val="00B55AF8"/>
    <w:rPr>
      <w:rFonts w:ascii="Arial MT" w:eastAsia="Arial MT" w:hAnsi="Arial MT" w:cs="Arial MT"/>
      <w:lang w:val="es-ES"/>
    </w:rPr>
  </w:style>
  <w:style w:type="character" w:customStyle="1" w:styleId="SinespaciadoCar">
    <w:name w:val="Sin espaciado Car"/>
    <w:link w:val="Sinespaciado"/>
    <w:locked/>
    <w:rsid w:val="003C5176"/>
    <w:rPr>
      <w:rFonts w:ascii="Calibri" w:eastAsia="Calibri" w:hAnsi="Calibri" w:cs="Times New Roman"/>
      <w:lang w:val="es-MX"/>
    </w:rPr>
  </w:style>
  <w:style w:type="paragraph" w:styleId="Sinespaciado">
    <w:name w:val="No Spacing"/>
    <w:link w:val="SinespaciadoCar"/>
    <w:qFormat/>
    <w:rsid w:val="003C5176"/>
    <w:pPr>
      <w:spacing w:after="0" w:line="240" w:lineRule="auto"/>
    </w:pPr>
    <w:rPr>
      <w:rFonts w:ascii="Calibri" w:eastAsia="Calibri" w:hAnsi="Calibri" w:cs="Times New Roman"/>
      <w:lang w:val="es-MX"/>
    </w:rPr>
  </w:style>
  <w:style w:type="paragraph" w:customStyle="1" w:styleId="western">
    <w:name w:val="western"/>
    <w:basedOn w:val="Normal"/>
    <w:rsid w:val="003C5176"/>
    <w:pPr>
      <w:spacing w:before="100" w:beforeAutospacing="1" w:after="100" w:afterAutospacing="1" w:line="240" w:lineRule="auto"/>
      <w:jc w:val="left"/>
    </w:pPr>
    <w:rPr>
      <w:rFonts w:ascii="Times New Roman" w:eastAsia="Times New Roman" w:hAnsi="Times New Roman" w:cs="Times New Roman"/>
      <w:kern w:val="0"/>
      <w:sz w:val="24"/>
      <w:szCs w:val="24"/>
      <w:lang w:eastAsia="es-CO"/>
      <w14:ligatures w14:val="none"/>
    </w:rPr>
  </w:style>
  <w:style w:type="character" w:customStyle="1" w:styleId="DefaultCar">
    <w:name w:val="Default Car"/>
    <w:link w:val="Default"/>
    <w:locked/>
    <w:rsid w:val="003B7F1A"/>
    <w:rPr>
      <w:rFonts w:ascii="Arial" w:eastAsia="Calibri" w:hAnsi="Arial" w:cs="Arial"/>
      <w:color w:val="000000"/>
      <w:sz w:val="24"/>
      <w:szCs w:val="24"/>
      <w:lang w:val="es-ES" w:eastAsia="es-ES"/>
    </w:rPr>
  </w:style>
  <w:style w:type="paragraph" w:customStyle="1" w:styleId="Default">
    <w:name w:val="Default"/>
    <w:link w:val="DefaultCar"/>
    <w:qFormat/>
    <w:rsid w:val="003B7F1A"/>
    <w:pPr>
      <w:autoSpaceDE w:val="0"/>
      <w:autoSpaceDN w:val="0"/>
      <w:adjustRightInd w:val="0"/>
      <w:spacing w:after="0" w:line="240" w:lineRule="auto"/>
    </w:pPr>
    <w:rPr>
      <w:rFonts w:ascii="Arial" w:eastAsia="Calibri" w:hAnsi="Arial" w:cs="Arial"/>
      <w:color w:val="000000"/>
      <w:sz w:val="24"/>
      <w:szCs w:val="24"/>
      <w:lang w:val="es-ES" w:eastAsia="es-ES"/>
    </w:rPr>
  </w:style>
  <w:style w:type="character" w:styleId="Refdecomentario">
    <w:name w:val="annotation reference"/>
    <w:basedOn w:val="Fuentedeprrafopredeter"/>
    <w:uiPriority w:val="99"/>
    <w:semiHidden/>
    <w:unhideWhenUsed/>
    <w:rsid w:val="00EA5103"/>
    <w:rPr>
      <w:sz w:val="16"/>
      <w:szCs w:val="16"/>
    </w:rPr>
  </w:style>
  <w:style w:type="paragraph" w:styleId="Textocomentario">
    <w:name w:val="annotation text"/>
    <w:basedOn w:val="Normal"/>
    <w:link w:val="TextocomentarioCar"/>
    <w:uiPriority w:val="99"/>
    <w:unhideWhenUsed/>
    <w:rsid w:val="00EA5103"/>
    <w:pPr>
      <w:spacing w:line="240" w:lineRule="auto"/>
      <w:jc w:val="left"/>
    </w:pPr>
    <w:rPr>
      <w:rFonts w:asciiTheme="minorHAnsi" w:hAnsiTheme="minorHAnsi" w:cstheme="minorBidi"/>
      <w:kern w:val="0"/>
      <w:sz w:val="20"/>
      <w:szCs w:val="20"/>
      <w14:ligatures w14:val="none"/>
    </w:rPr>
  </w:style>
  <w:style w:type="character" w:customStyle="1" w:styleId="TextocomentarioCar">
    <w:name w:val="Texto comentario Car"/>
    <w:basedOn w:val="Fuentedeprrafopredeter"/>
    <w:link w:val="Textocomentario"/>
    <w:uiPriority w:val="99"/>
    <w:rsid w:val="00EA510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43310">
      <w:bodyDiv w:val="1"/>
      <w:marLeft w:val="0"/>
      <w:marRight w:val="0"/>
      <w:marTop w:val="0"/>
      <w:marBottom w:val="0"/>
      <w:divBdr>
        <w:top w:val="none" w:sz="0" w:space="0" w:color="auto"/>
        <w:left w:val="none" w:sz="0" w:space="0" w:color="auto"/>
        <w:bottom w:val="none" w:sz="0" w:space="0" w:color="auto"/>
        <w:right w:val="none" w:sz="0" w:space="0" w:color="auto"/>
      </w:divBdr>
    </w:div>
    <w:div w:id="32921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3769</Words>
  <Characters>20730</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Castañeda Lastra</dc:creator>
  <cp:keywords/>
  <dc:description/>
  <cp:lastModifiedBy>ADRIANA MILAGROS SOCARRAS VARELA</cp:lastModifiedBy>
  <cp:revision>8</cp:revision>
  <dcterms:created xsi:type="dcterms:W3CDTF">2026-05-26T20:36:00Z</dcterms:created>
  <dcterms:modified xsi:type="dcterms:W3CDTF">2026-07-03T16:31:00Z</dcterms:modified>
</cp:coreProperties>
</file>